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wmf" ContentType="image/x-wmf"/>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60"/>
        <w:ind w:left="720" w:hanging="0"/>
        <w:jc w:val="right"/>
        <w:rPr>
          <w:i/>
          <w:i/>
        </w:rPr>
      </w:pPr>
      <w:r>
        <w:rPr>
          <w:i/>
        </w:rPr>
        <w:t>Modulo richiesta assegno</w:t>
      </w:r>
    </w:p>
    <w:tbl>
      <w:tblPr>
        <w:tblW w:w="9628" w:type="dxa"/>
        <w:jc w:val="left"/>
        <w:tblInd w:w="0" w:type="dxa"/>
        <w:tblCellMar>
          <w:top w:w="0" w:type="dxa"/>
          <w:left w:w="108" w:type="dxa"/>
          <w:bottom w:w="0" w:type="dxa"/>
          <w:right w:w="108" w:type="dxa"/>
        </w:tblCellMar>
        <w:tblLook w:firstRow="1" w:noVBand="1" w:lastRow="0" w:firstColumn="1" w:lastColumn="0" w:noHBand="0" w:val="04a0"/>
      </w:tblPr>
      <w:tblGrid>
        <w:gridCol w:w="1807"/>
        <w:gridCol w:w="408"/>
        <w:gridCol w:w="4045"/>
        <w:gridCol w:w="1828"/>
        <w:gridCol w:w="1539"/>
      </w:tblGrid>
      <w:tr>
        <w:trPr/>
        <w:tc>
          <w:tcPr>
            <w:tcW w:w="18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60" w:after="60"/>
              <w:jc w:val="both"/>
              <w:rPr>
                <w:b/>
                <w:b/>
                <w:sz w:val="28"/>
                <w:szCs w:val="28"/>
              </w:rPr>
            </w:pPr>
            <w:r>
              <w:rPr>
                <w:b/>
                <w:sz w:val="28"/>
                <w:szCs w:val="28"/>
              </w:rPr>
              <w:t>TUTOR</w:t>
            </w:r>
          </w:p>
        </w:tc>
        <w:tc>
          <w:tcPr>
            <w:tcW w:w="445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60" w:after="60"/>
              <w:jc w:val="both"/>
              <w:rPr>
                <w:b/>
                <w:b/>
                <w:color w:val="000000"/>
                <w:sz w:val="28"/>
                <w:szCs w:val="28"/>
              </w:rPr>
            </w:pPr>
            <w:r>
              <w:rPr>
                <w:b/>
                <w:color w:val="000000"/>
                <w:sz w:val="28"/>
                <w:szCs w:val="28"/>
              </w:rPr>
              <w:t>Giovanni Barbara</w:t>
            </w:r>
          </w:p>
        </w:tc>
        <w:tc>
          <w:tcPr>
            <w:tcW w:w="182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60" w:after="60"/>
              <w:jc w:val="both"/>
              <w:rPr>
                <w:b/>
                <w:b/>
                <w:color w:val="FF0000"/>
                <w:sz w:val="28"/>
                <w:szCs w:val="28"/>
              </w:rPr>
            </w:pPr>
            <w:r>
              <w:rPr>
                <w:b/>
                <w:color w:val="FF0000"/>
                <w:sz w:val="28"/>
                <w:szCs w:val="28"/>
              </w:rPr>
            </w:r>
          </w:p>
        </w:tc>
        <w:tc>
          <w:tcPr>
            <w:tcW w:w="153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60" w:after="60"/>
              <w:jc w:val="both"/>
              <w:rPr>
                <w:b/>
                <w:b/>
                <w:color w:val="FF0000"/>
                <w:sz w:val="28"/>
                <w:szCs w:val="28"/>
              </w:rPr>
            </w:pPr>
            <w:r>
              <w:rPr>
                <w:b/>
                <w:color w:val="FF0000"/>
                <w:sz w:val="28"/>
                <w:szCs w:val="28"/>
              </w:rPr>
            </w:r>
          </w:p>
        </w:tc>
      </w:tr>
      <w:tr>
        <w:trPr/>
        <w:tc>
          <w:tcPr>
            <w:tcW w:w="9627" w:type="dxa"/>
            <w:gridSpan w:val="5"/>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60" w:after="60"/>
              <w:jc w:val="both"/>
              <w:rPr>
                <w:i/>
                <w:i/>
              </w:rPr>
            </w:pPr>
            <w:r>
              <w:rPr>
                <w:b/>
                <w:sz w:val="28"/>
                <w:szCs w:val="28"/>
              </w:rPr>
              <w:t xml:space="preserve">PRODUZIONE SCIENTIFICA TUTOR </w:t>
            </w:r>
            <w:r>
              <w:rPr>
                <w:b/>
                <w:sz w:val="28"/>
                <w:szCs w:val="28"/>
                <w:u w:val="single"/>
              </w:rPr>
              <w:t>NELL’ULTIMO QUADRIENNIO</w:t>
            </w:r>
          </w:p>
        </w:tc>
      </w:tr>
      <w:tr>
        <w:trPr/>
        <w:tc>
          <w:tcPr>
            <w:tcW w:w="221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60" w:after="60"/>
              <w:jc w:val="both"/>
              <w:rPr>
                <w:sz w:val="28"/>
                <w:szCs w:val="28"/>
              </w:rPr>
            </w:pPr>
            <w:r>
              <w:rPr>
                <w:sz w:val="28"/>
                <w:szCs w:val="28"/>
              </w:rPr>
            </w:r>
          </w:p>
        </w:tc>
        <w:tc>
          <w:tcPr>
            <w:tcW w:w="40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60" w:after="60"/>
              <w:jc w:val="both"/>
              <w:rPr>
                <w:sz w:val="28"/>
                <w:szCs w:val="28"/>
              </w:rPr>
            </w:pPr>
            <w:r>
              <w:rPr>
                <w:sz w:val="28"/>
                <w:szCs w:val="28"/>
              </w:rPr>
              <w:t>ARTICOLO (autori, titolo, rivista, anno)</w:t>
            </w:r>
          </w:p>
        </w:tc>
        <w:tc>
          <w:tcPr>
            <w:tcW w:w="182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60" w:after="60"/>
              <w:jc w:val="both"/>
              <w:rPr>
                <w:sz w:val="28"/>
                <w:szCs w:val="28"/>
              </w:rPr>
            </w:pPr>
            <w:r>
              <w:rPr>
                <w:sz w:val="28"/>
                <w:szCs w:val="28"/>
              </w:rPr>
              <w:t>INDICE UNICO</w:t>
            </w:r>
          </w:p>
        </w:tc>
        <w:tc>
          <w:tcPr>
            <w:tcW w:w="153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60" w:after="60"/>
              <w:jc w:val="both"/>
              <w:rPr>
                <w:sz w:val="28"/>
                <w:szCs w:val="28"/>
              </w:rPr>
            </w:pPr>
            <w:r>
              <w:rPr>
                <w:i/>
              </w:rPr>
              <w:t>Punti</w:t>
            </w:r>
          </w:p>
        </w:tc>
      </w:tr>
      <w:tr>
        <w:trPr>
          <w:trHeight w:val="4137" w:hRule="atLeast"/>
        </w:trPr>
        <w:tc>
          <w:tcPr>
            <w:tcW w:w="2215"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60" w:after="60"/>
              <w:jc w:val="both"/>
              <w:rPr>
                <w:sz w:val="28"/>
                <w:szCs w:val="28"/>
              </w:rPr>
            </w:pPr>
            <w:r>
              <w:rPr>
                <w:b/>
                <w:sz w:val="28"/>
                <w:szCs w:val="28"/>
              </w:rPr>
              <w:t>3</w:t>
            </w:r>
            <w:r>
              <w:rPr>
                <w:sz w:val="28"/>
                <w:szCs w:val="28"/>
              </w:rPr>
              <w:t xml:space="preserve"> lavori in extenso su riviste indicizzate con valutazione indice unico da VRA2022</w:t>
            </w:r>
          </w:p>
        </w:tc>
        <w:tc>
          <w:tcPr>
            <w:tcW w:w="40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60" w:after="60"/>
              <w:jc w:val="both"/>
              <w:rPr>
                <w:rFonts w:ascii="Times New Roman" w:hAnsi="Times New Roman"/>
                <w:b w:val="false"/>
                <w:b w:val="false"/>
                <w:bCs w:val="false"/>
                <w:color w:val="000000"/>
                <w:sz w:val="24"/>
                <w:szCs w:val="28"/>
              </w:rPr>
            </w:pPr>
            <w:r>
              <w:rPr>
                <w:rFonts w:ascii="Times New Roman" w:hAnsi="Times New Roman"/>
                <w:b w:val="false"/>
                <w:bCs w:val="false"/>
                <w:i w:val="false"/>
                <w:caps w:val="false"/>
                <w:smallCaps w:val="false"/>
                <w:color w:val="000000"/>
                <w:spacing w:val="0"/>
                <w:sz w:val="24"/>
                <w:szCs w:val="28"/>
              </w:rPr>
              <w:t>Barbaro M.R.; Cremon C.; Morselli-Labate A.M.; Di Sabatino A.; Giuffrida P.; Corazza G.R.; Di Stefano M.; Caio G.; Latella G.; Ciacci C.; Fuschi D.; Mastroroberto M.; Bellacosa L.; Stanghellini V.; Volta U.; Barbara G.</w:t>
            </w:r>
            <w:r>
              <w:rPr>
                <w:rFonts w:ascii="Times New Roman" w:hAnsi="Times New Roman"/>
                <w:b w:val="false"/>
                <w:bCs w:val="false"/>
                <w:color w:val="000000"/>
                <w:sz w:val="24"/>
                <w:szCs w:val="28"/>
              </w:rPr>
              <w:t xml:space="preserve"> S</w:t>
            </w:r>
            <w:r>
              <w:rPr>
                <w:rFonts w:ascii="Times New Roman" w:hAnsi="Times New Roman"/>
                <w:b w:val="false"/>
                <w:bCs w:val="false"/>
                <w:i w:val="false"/>
                <w:iCs w:val="false"/>
                <w:color w:val="000000"/>
                <w:sz w:val="24"/>
                <w:szCs w:val="28"/>
              </w:rPr>
              <w:t xml:space="preserve">erum zonulin and its diagnostic performance in non-coeliac gluten sensitivity. </w:t>
            </w:r>
            <w:r>
              <w:rPr>
                <w:rFonts w:ascii="Times New Roman" w:hAnsi="Times New Roman"/>
                <w:b w:val="false"/>
                <w:bCs w:val="false"/>
                <w:i w:val="false"/>
                <w:iCs w:val="false"/>
                <w:color w:val="000000"/>
                <w:sz w:val="24"/>
                <w:szCs w:val="28"/>
              </w:rPr>
              <w:t>Gut 2020</w:t>
            </w:r>
          </w:p>
          <w:p>
            <w:pPr>
              <w:pStyle w:val="Normal"/>
              <w:spacing w:before="60" w:after="60"/>
              <w:jc w:val="both"/>
              <w:rPr>
                <w:sz w:val="28"/>
                <w:szCs w:val="28"/>
              </w:rPr>
            </w:pPr>
            <w:r>
              <w:rPr>
                <w:sz w:val="28"/>
                <w:szCs w:val="28"/>
              </w:rPr>
            </w:r>
          </w:p>
        </w:tc>
        <w:tc>
          <w:tcPr>
            <w:tcW w:w="182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60" w:after="60"/>
              <w:jc w:val="both"/>
              <w:rPr>
                <w:sz w:val="28"/>
                <w:szCs w:val="28"/>
              </w:rPr>
            </w:pPr>
            <w:r>
              <w:rPr>
                <w:sz w:val="28"/>
                <w:szCs w:val="28"/>
              </w:rPr>
              <w:t>0,97</w:t>
            </w:r>
          </w:p>
        </w:tc>
        <w:tc>
          <w:tcPr>
            <w:tcW w:w="153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60" w:after="60"/>
              <w:jc w:val="both"/>
              <w:rPr>
                <w:sz w:val="28"/>
                <w:szCs w:val="28"/>
              </w:rPr>
            </w:pPr>
            <w:r>
              <w:rPr>
                <w:sz w:val="28"/>
                <w:szCs w:val="28"/>
              </w:rPr>
            </w:r>
          </w:p>
        </w:tc>
      </w:tr>
      <w:tr>
        <w:trPr>
          <w:trHeight w:val="2693" w:hRule="atLeast"/>
        </w:trPr>
        <w:tc>
          <w:tcPr>
            <w:tcW w:w="221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60" w:after="60"/>
              <w:jc w:val="both"/>
              <w:rPr>
                <w:sz w:val="28"/>
                <w:szCs w:val="28"/>
              </w:rPr>
            </w:pPr>
            <w:r>
              <w:rPr>
                <w:sz w:val="28"/>
                <w:szCs w:val="28"/>
              </w:rPr>
            </w:r>
          </w:p>
        </w:tc>
        <w:tc>
          <w:tcPr>
            <w:tcW w:w="40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itolo3"/>
              <w:spacing w:before="60" w:after="60"/>
              <w:jc w:val="both"/>
              <w:rPr>
                <w:rFonts w:ascii="Merriweather Sans;sans-serif" w:hAnsi="Merriweather Sans;sans-serif"/>
                <w:b/>
                <w:sz w:val="28"/>
                <w:szCs w:val="28"/>
              </w:rPr>
            </w:pPr>
            <w:r>
              <w:rPr>
                <w:rStyle w:val="Enfasi"/>
                <w:rFonts w:ascii="Times New Roman" w:hAnsi="Times New Roman"/>
                <w:b w:val="false"/>
                <w:bCs w:val="false"/>
                <w:i w:val="false"/>
                <w:iCs w:val="false"/>
                <w:color w:val="000000"/>
                <w:spacing w:val="0"/>
                <w:sz w:val="24"/>
                <w:szCs w:val="24"/>
              </w:rPr>
              <w:t>Henström, Maria; Diekmann, Lena; Bonfiglio, Ferdinando; Hadizadeh, Fatemeh; Kuech, Eva-Maria; von Köckritz-Blickwede, Maren; Thingholm, Louise B.; Zheng, Tenghao; Assadi, Ghazaleh; Dierks, Claudia; Heine, Martin; Philipp, Ute; Distl, Ottmar; Money, Mary E.; Belheouane, Meriem; Heinsen, Femke-Anouska; Rafter, Joseph; Nardone, Gerardo; Cuomo, Rosario; Usai-Satta, Paolo; Galeazzi, Francesca; Neri, Matteo; Walter, Susanna; Simrén, Magnus; Karling, Pontus; Ohlsson, Bodil; Schmidt, Peter T.; Lindberg, Greger; Dlugosz, Aldona; Agreus, Lars; Andreasson, Anna; Mayer, Emeran; Baines, John F.; Engstrand, Lars; Portincasa, Piero; Bellini, Massimo; Stanghellini, Vincenzo; Barbara, Giovanni; Chang, Lin; Camilleri, Michael; Franke, Andre; Naim, Hassan Y.; D'Amato, Mauro.</w:t>
            </w:r>
            <w:r>
              <w:rPr>
                <w:rFonts w:ascii="Times New Roman" w:hAnsi="Times New Roman"/>
                <w:b w:val="false"/>
                <w:bCs w:val="false"/>
                <w:i w:val="false"/>
                <w:iCs w:val="false"/>
                <w:color w:val="000000"/>
                <w:sz w:val="24"/>
                <w:szCs w:val="24"/>
              </w:rPr>
              <w:t xml:space="preserve"> Functional variants in the sucrase-isomaltase gene associate with increased risk of irritable bowel syndrome. </w:t>
            </w:r>
            <w:r>
              <w:rPr>
                <w:rFonts w:ascii="Times New Roman" w:hAnsi="Times New Roman"/>
                <w:b w:val="false"/>
                <w:bCs w:val="false"/>
                <w:i w:val="false"/>
                <w:iCs w:val="false"/>
                <w:color w:val="000000"/>
                <w:sz w:val="24"/>
                <w:szCs w:val="24"/>
              </w:rPr>
              <w:t>Gut2018</w:t>
            </w:r>
          </w:p>
          <w:p>
            <w:pPr>
              <w:pStyle w:val="Normal"/>
              <w:spacing w:before="60" w:after="60"/>
              <w:jc w:val="both"/>
              <w:rPr>
                <w:rFonts w:ascii="Times New Roman" w:hAnsi="Times New Roman"/>
                <w:b w:val="false"/>
                <w:b w:val="false"/>
                <w:bCs w:val="false"/>
                <w:i w:val="false"/>
                <w:i w:val="false"/>
                <w:iCs w:val="false"/>
                <w:color w:val="000000"/>
                <w:sz w:val="24"/>
                <w:szCs w:val="24"/>
              </w:rPr>
            </w:pPr>
            <w:r>
              <w:rPr>
                <w:rFonts w:ascii="Times New Roman" w:hAnsi="Times New Roman"/>
                <w:b w:val="false"/>
                <w:bCs w:val="false"/>
                <w:i w:val="false"/>
                <w:iCs w:val="false"/>
                <w:color w:val="000000"/>
                <w:sz w:val="24"/>
                <w:szCs w:val="24"/>
              </w:rPr>
            </w:r>
          </w:p>
        </w:tc>
        <w:tc>
          <w:tcPr>
            <w:tcW w:w="182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60" w:after="60"/>
              <w:jc w:val="both"/>
              <w:rPr>
                <w:sz w:val="28"/>
                <w:szCs w:val="28"/>
              </w:rPr>
            </w:pPr>
            <w:r>
              <w:rPr>
                <w:sz w:val="28"/>
                <w:szCs w:val="28"/>
              </w:rPr>
              <w:t>0,98</w:t>
            </w:r>
          </w:p>
        </w:tc>
        <w:tc>
          <w:tcPr>
            <w:tcW w:w="153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60" w:after="60"/>
              <w:jc w:val="both"/>
              <w:rPr>
                <w:sz w:val="28"/>
                <w:szCs w:val="28"/>
              </w:rPr>
            </w:pPr>
            <w:r>
              <w:rPr>
                <w:sz w:val="28"/>
                <w:szCs w:val="28"/>
              </w:rPr>
            </w:r>
          </w:p>
        </w:tc>
      </w:tr>
      <w:tr>
        <w:trPr>
          <w:trHeight w:val="3242" w:hRule="atLeast"/>
        </w:trPr>
        <w:tc>
          <w:tcPr>
            <w:tcW w:w="221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60" w:after="60"/>
              <w:jc w:val="both"/>
              <w:rPr>
                <w:sz w:val="28"/>
                <w:szCs w:val="28"/>
              </w:rPr>
            </w:pPr>
            <w:r>
              <w:rPr>
                <w:sz w:val="28"/>
                <w:szCs w:val="28"/>
              </w:rPr>
            </w:r>
          </w:p>
        </w:tc>
        <w:tc>
          <w:tcPr>
            <w:tcW w:w="40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itolo3"/>
              <w:spacing w:before="60" w:after="60"/>
              <w:jc w:val="both"/>
              <w:rPr/>
            </w:pPr>
            <w:r>
              <w:rPr>
                <w:rStyle w:val="Enfasi"/>
                <w:rFonts w:ascii="Times New Roman" w:hAnsi="Times New Roman"/>
                <w:b w:val="false"/>
                <w:bCs w:val="false"/>
                <w:i w:val="false"/>
                <w:iCs w:val="false"/>
                <w:color w:val="000000"/>
                <w:spacing w:val="0"/>
                <w:sz w:val="24"/>
                <w:szCs w:val="24"/>
              </w:rPr>
              <w:t>Garcia-Etxebarria, Koldo; Zheng, Tenghao; Bonfiglio, Ferdinando; Bujanda, Luis; Dlugosz, Aldona; Lindberg, Greger; Schmidt, Peter T; Karling, Pontus; Ohlsson, Bodil; Simren, Magnus; Walter, Susanna; Nardone, Gerardo; Cuomo, Rosario; Usai-Satta, Paolo; Galeazzi, Francesca; Neri, Matteo; Portincasa, Piero; Bellini, Massimo; Barbara, Giovanni; Jonkers, Daisy; Eswaran, Shanti; Chey, William D; Kashyap, Purna; Chang, Lin; Mayer, Emeran A; Wouters, Mira M; Boeckxstaens, Guy; Camilleri, Michael; Franke, Andre; D'Amato, Mauro</w:t>
            </w:r>
            <w:r>
              <w:rPr>
                <w:rFonts w:ascii="Times New Roman" w:hAnsi="Times New Roman"/>
                <w:b w:val="false"/>
                <w:bCs w:val="false"/>
                <w:i w:val="false"/>
                <w:iCs w:val="false"/>
                <w:color w:val="000000"/>
                <w:sz w:val="24"/>
                <w:szCs w:val="24"/>
              </w:rPr>
              <w:t xml:space="preserve"> Increased Prevalence of Rare Sucrase-isomaltase (SI) Pathogenic Variants in Irritable Bowel Syndrome Patients, </w:t>
            </w:r>
            <w:hyperlink r:id="rId2" w:tgtFrame="_blank">
              <w:r>
                <w:rPr>
                  <w:rStyle w:val="Enfasi"/>
                  <w:rFonts w:ascii="Times New Roman" w:hAnsi="Times New Roman"/>
                  <w:b w:val="false"/>
                  <w:bCs w:val="false"/>
                  <w:i w:val="false"/>
                  <w:iCs w:val="false"/>
                  <w:strike w:val="false"/>
                  <w:dstrike w:val="false"/>
                  <w:color w:val="000000"/>
                  <w:spacing w:val="0"/>
                  <w:sz w:val="24"/>
                  <w:szCs w:val="24"/>
                  <w:u w:val="none"/>
                  <w:effect w:val="none"/>
                  <w:bdr w:val="single" w:sz="2" w:space="1" w:color="AAAAAA"/>
                </w:rPr>
                <w:t>CLINICAL GASTROENTEROLOGY AND HEPATOLOGY</w:t>
              </w:r>
            </w:hyperlink>
            <w:r>
              <w:rPr>
                <w:rFonts w:ascii="Times New Roman" w:hAnsi="Times New Roman"/>
                <w:b w:val="false"/>
                <w:bCs w:val="false"/>
                <w:i w:val="false"/>
                <w:iCs w:val="false"/>
                <w:color w:val="000000"/>
                <w:sz w:val="24"/>
                <w:szCs w:val="24"/>
              </w:rPr>
              <w:t xml:space="preserve"> ,</w:t>
            </w:r>
            <w:r>
              <w:rPr>
                <w:rFonts w:ascii="Times New Roman" w:hAnsi="Times New Roman"/>
                <w:b w:val="false"/>
                <w:bCs w:val="false"/>
                <w:i w:val="false"/>
                <w:iCs w:val="false"/>
                <w:color w:val="000000"/>
                <w:sz w:val="24"/>
                <w:szCs w:val="24"/>
              </w:rPr>
              <w:t>2018</w:t>
            </w:r>
          </w:p>
          <w:p>
            <w:pPr>
              <w:pStyle w:val="Normal"/>
              <w:spacing w:before="60" w:after="60"/>
              <w:jc w:val="both"/>
              <w:rPr>
                <w:rFonts w:ascii="Times New Roman" w:hAnsi="Times New Roman"/>
                <w:b w:val="false"/>
                <w:b w:val="false"/>
                <w:bCs w:val="false"/>
                <w:i w:val="false"/>
                <w:i w:val="false"/>
                <w:iCs w:val="false"/>
                <w:color w:val="000000"/>
                <w:sz w:val="24"/>
                <w:szCs w:val="24"/>
              </w:rPr>
            </w:pPr>
            <w:r>
              <w:rPr>
                <w:rFonts w:ascii="Times New Roman" w:hAnsi="Times New Roman"/>
                <w:b w:val="false"/>
                <w:bCs w:val="false"/>
                <w:i w:val="false"/>
                <w:iCs w:val="false"/>
                <w:color w:val="000000"/>
                <w:sz w:val="24"/>
                <w:szCs w:val="24"/>
              </w:rPr>
            </w:r>
          </w:p>
        </w:tc>
        <w:tc>
          <w:tcPr>
            <w:tcW w:w="182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60" w:after="60"/>
              <w:jc w:val="both"/>
              <w:rPr>
                <w:sz w:val="28"/>
                <w:szCs w:val="28"/>
              </w:rPr>
            </w:pPr>
            <w:r>
              <w:rPr>
                <w:sz w:val="28"/>
                <w:szCs w:val="28"/>
              </w:rPr>
              <w:t>0,96</w:t>
            </w:r>
          </w:p>
        </w:tc>
        <w:tc>
          <w:tcPr>
            <w:tcW w:w="153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60" w:after="60"/>
              <w:jc w:val="both"/>
              <w:rPr>
                <w:sz w:val="28"/>
                <w:szCs w:val="28"/>
              </w:rPr>
            </w:pPr>
            <w:r>
              <w:rPr>
                <w:sz w:val="28"/>
                <w:szCs w:val="28"/>
              </w:rPr>
            </w:r>
          </w:p>
        </w:tc>
      </w:tr>
      <w:tr>
        <w:trPr>
          <w:trHeight w:val="592" w:hRule="atLeast"/>
        </w:trPr>
        <w:tc>
          <w:tcPr>
            <w:tcW w:w="8088"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60" w:after="60"/>
              <w:jc w:val="both"/>
              <w:rPr>
                <w:b/>
                <w:b/>
                <w:sz w:val="28"/>
                <w:szCs w:val="28"/>
              </w:rPr>
            </w:pPr>
            <w:r>
              <w:rPr>
                <w:b/>
                <w:sz w:val="28"/>
                <w:szCs w:val="28"/>
              </w:rPr>
              <w:t xml:space="preserve">Totale </w:t>
            </w:r>
          </w:p>
        </w:tc>
        <w:tc>
          <w:tcPr>
            <w:tcW w:w="153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60" w:after="60"/>
              <w:jc w:val="both"/>
              <w:rPr>
                <w:sz w:val="28"/>
                <w:szCs w:val="28"/>
              </w:rPr>
            </w:pPr>
            <w:r>
              <w:rPr>
                <w:sz w:val="28"/>
                <w:szCs w:val="28"/>
              </w:rPr>
            </w:r>
          </w:p>
        </w:tc>
      </w:tr>
      <w:tr>
        <w:trPr>
          <w:trHeight w:val="420" w:hRule="atLeast"/>
        </w:trPr>
        <w:tc>
          <w:tcPr>
            <w:tcW w:w="9627" w:type="dxa"/>
            <w:gridSpan w:val="5"/>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60" w:after="60"/>
              <w:jc w:val="both"/>
              <w:rPr>
                <w:b/>
                <w:b/>
                <w:sz w:val="28"/>
                <w:szCs w:val="28"/>
              </w:rPr>
            </w:pPr>
            <w:r>
              <w:rPr>
                <w:b/>
                <w:sz w:val="28"/>
                <w:szCs w:val="28"/>
              </w:rPr>
              <w:t>DISSEMINAZIONE SCIENTIFICA E ATTIVITÀ DI TERZA MISSIONE TUTOR</w:t>
            </w:r>
            <w:r>
              <w:rPr>
                <w:b/>
                <w:sz w:val="28"/>
                <w:szCs w:val="28"/>
                <w:u w:val="single"/>
              </w:rPr>
              <w:t xml:space="preserve"> NELL’ULTIMO QUADRIENNIO</w:t>
            </w:r>
          </w:p>
        </w:tc>
      </w:tr>
      <w:tr>
        <w:trPr>
          <w:trHeight w:val="594" w:hRule="atLeast"/>
        </w:trPr>
        <w:tc>
          <w:tcPr>
            <w:tcW w:w="221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60" w:after="60"/>
              <w:jc w:val="both"/>
              <w:rPr>
                <w:sz w:val="28"/>
                <w:szCs w:val="28"/>
              </w:rPr>
            </w:pPr>
            <w:r>
              <w:rPr>
                <w:b/>
                <w:sz w:val="28"/>
                <w:szCs w:val="28"/>
              </w:rPr>
              <w:t xml:space="preserve">Tipologia </w:t>
            </w:r>
            <w:r>
              <w:rPr>
                <w:sz w:val="28"/>
                <w:szCs w:val="28"/>
              </w:rPr>
              <w:t>(seminario, congresso nazionale, congresso internazionale, attività di terza missione inserita su catalogo IRIS)</w:t>
            </w:r>
          </w:p>
        </w:tc>
        <w:tc>
          <w:tcPr>
            <w:tcW w:w="587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before="60" w:after="60"/>
              <w:jc w:val="both"/>
              <w:rPr/>
            </w:pPr>
            <w:r>
              <w:rPr>
                <w:b/>
                <w:sz w:val="28"/>
                <w:szCs w:val="28"/>
              </w:rPr>
              <w:t xml:space="preserve">Titolo </w:t>
            </w:r>
          </w:p>
          <w:p>
            <w:pPr>
              <w:pStyle w:val="Normal"/>
              <w:spacing w:before="60" w:after="60"/>
              <w:jc w:val="both"/>
              <w:rPr>
                <w:b w:val="false"/>
                <w:b w:val="false"/>
                <w:bCs w:val="false"/>
                <w:sz w:val="24"/>
                <w:szCs w:val="28"/>
              </w:rPr>
            </w:pPr>
            <w:r>
              <w:rPr>
                <w:b w:val="false"/>
                <w:bCs w:val="false"/>
                <w:sz w:val="24"/>
                <w:szCs w:val="28"/>
              </w:rPr>
              <w:t>- congresso: IBS DAYS 2022</w:t>
            </w:r>
          </w:p>
          <w:p>
            <w:pPr>
              <w:pStyle w:val="Normal"/>
              <w:spacing w:before="60" w:after="60"/>
              <w:jc w:val="both"/>
              <w:rPr>
                <w:b w:val="false"/>
                <w:b w:val="false"/>
                <w:bCs w:val="false"/>
                <w:sz w:val="24"/>
                <w:szCs w:val="28"/>
              </w:rPr>
            </w:pPr>
            <w:r>
              <w:rPr>
                <w:b w:val="false"/>
                <w:bCs w:val="false"/>
                <w:sz w:val="24"/>
                <w:szCs w:val="28"/>
              </w:rPr>
              <w:t xml:space="preserve">- </w:t>
            </w:r>
            <w:r>
              <w:rPr>
                <w:b w:val="false"/>
                <w:bCs w:val="false"/>
                <w:sz w:val="24"/>
                <w:szCs w:val="28"/>
              </w:rPr>
              <w:t xml:space="preserve">congresso: </w:t>
            </w:r>
            <w:r>
              <w:rPr>
                <w:b w:val="false"/>
                <w:bCs w:val="false"/>
                <w:sz w:val="24"/>
                <w:szCs w:val="28"/>
              </w:rPr>
              <w:t>DDW 2022</w:t>
            </w:r>
          </w:p>
          <w:p>
            <w:pPr>
              <w:pStyle w:val="Normal"/>
              <w:spacing w:before="60" w:after="60"/>
              <w:jc w:val="both"/>
              <w:rPr>
                <w:b w:val="false"/>
                <w:b w:val="false"/>
                <w:bCs w:val="false"/>
                <w:sz w:val="24"/>
                <w:szCs w:val="28"/>
              </w:rPr>
            </w:pPr>
            <w:r>
              <w:rPr>
                <w:b w:val="false"/>
                <w:bCs w:val="false"/>
                <w:sz w:val="24"/>
                <w:szCs w:val="28"/>
              </w:rPr>
              <w:t xml:space="preserve">- </w:t>
            </w:r>
            <w:r>
              <w:rPr>
                <w:b w:val="false"/>
                <w:bCs w:val="false"/>
                <w:sz w:val="24"/>
                <w:szCs w:val="28"/>
              </w:rPr>
              <w:t xml:space="preserve">congresso: </w:t>
            </w:r>
            <w:r>
              <w:rPr>
                <w:b w:val="false"/>
                <w:bCs w:val="false"/>
                <w:sz w:val="24"/>
                <w:szCs w:val="28"/>
              </w:rPr>
              <w:t>UEGW 2022</w:t>
            </w:r>
          </w:p>
        </w:tc>
        <w:tc>
          <w:tcPr>
            <w:tcW w:w="153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60" w:after="60"/>
              <w:jc w:val="both"/>
              <w:rPr>
                <w:sz w:val="28"/>
                <w:szCs w:val="28"/>
              </w:rPr>
            </w:pPr>
            <w:r>
              <w:rPr>
                <w:sz w:val="28"/>
                <w:szCs w:val="28"/>
              </w:rPr>
              <w:t>Punti</w:t>
            </w:r>
          </w:p>
        </w:tc>
      </w:tr>
      <w:tr>
        <w:trPr>
          <w:trHeight w:val="592" w:hRule="atLeast"/>
        </w:trPr>
        <w:tc>
          <w:tcPr>
            <w:tcW w:w="221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60" w:after="60"/>
              <w:jc w:val="both"/>
              <w:rPr>
                <w:sz w:val="28"/>
                <w:szCs w:val="28"/>
              </w:rPr>
            </w:pPr>
            <w:r>
              <w:rPr>
                <w:sz w:val="28"/>
                <w:szCs w:val="28"/>
              </w:rPr>
            </w:r>
          </w:p>
        </w:tc>
        <w:tc>
          <w:tcPr>
            <w:tcW w:w="587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before="60" w:after="60"/>
              <w:jc w:val="both"/>
              <w:rPr>
                <w:sz w:val="28"/>
                <w:szCs w:val="28"/>
              </w:rPr>
            </w:pPr>
            <w:r>
              <w:rPr>
                <w:sz w:val="28"/>
                <w:szCs w:val="28"/>
              </w:rPr>
            </w:r>
          </w:p>
        </w:tc>
        <w:tc>
          <w:tcPr>
            <w:tcW w:w="153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60" w:after="60"/>
              <w:jc w:val="both"/>
              <w:rPr>
                <w:sz w:val="28"/>
                <w:szCs w:val="28"/>
              </w:rPr>
            </w:pPr>
            <w:r>
              <w:rPr>
                <w:sz w:val="28"/>
                <w:szCs w:val="28"/>
              </w:rPr>
            </w:r>
          </w:p>
        </w:tc>
      </w:tr>
      <w:tr>
        <w:trPr>
          <w:trHeight w:val="592" w:hRule="atLeast"/>
        </w:trPr>
        <w:tc>
          <w:tcPr>
            <w:tcW w:w="221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60" w:after="60"/>
              <w:jc w:val="both"/>
              <w:rPr>
                <w:sz w:val="28"/>
                <w:szCs w:val="28"/>
              </w:rPr>
            </w:pPr>
            <w:r>
              <w:rPr>
                <w:sz w:val="28"/>
                <w:szCs w:val="28"/>
              </w:rPr>
            </w:r>
          </w:p>
        </w:tc>
        <w:tc>
          <w:tcPr>
            <w:tcW w:w="587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before="60" w:after="60"/>
              <w:jc w:val="both"/>
              <w:rPr>
                <w:sz w:val="28"/>
                <w:szCs w:val="28"/>
              </w:rPr>
            </w:pPr>
            <w:r>
              <w:rPr>
                <w:sz w:val="28"/>
                <w:szCs w:val="28"/>
              </w:rPr>
            </w:r>
          </w:p>
        </w:tc>
        <w:tc>
          <w:tcPr>
            <w:tcW w:w="153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60" w:after="60"/>
              <w:jc w:val="both"/>
              <w:rPr>
                <w:sz w:val="28"/>
                <w:szCs w:val="28"/>
              </w:rPr>
            </w:pPr>
            <w:r>
              <w:rPr>
                <w:sz w:val="28"/>
                <w:szCs w:val="28"/>
              </w:rPr>
            </w:r>
          </w:p>
        </w:tc>
      </w:tr>
      <w:tr>
        <w:trPr>
          <w:trHeight w:val="592" w:hRule="atLeast"/>
        </w:trPr>
        <w:tc>
          <w:tcPr>
            <w:tcW w:w="221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60" w:after="60"/>
              <w:jc w:val="both"/>
              <w:rPr>
                <w:sz w:val="28"/>
                <w:szCs w:val="28"/>
              </w:rPr>
            </w:pPr>
            <w:r>
              <w:rPr>
                <w:sz w:val="28"/>
                <w:szCs w:val="28"/>
              </w:rPr>
            </w:r>
          </w:p>
        </w:tc>
        <w:tc>
          <w:tcPr>
            <w:tcW w:w="587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before="60" w:after="60"/>
              <w:jc w:val="both"/>
              <w:rPr>
                <w:sz w:val="28"/>
                <w:szCs w:val="28"/>
              </w:rPr>
            </w:pPr>
            <w:r>
              <w:rPr>
                <w:sz w:val="28"/>
                <w:szCs w:val="28"/>
              </w:rPr>
            </w:r>
          </w:p>
        </w:tc>
        <w:tc>
          <w:tcPr>
            <w:tcW w:w="153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60" w:after="60"/>
              <w:jc w:val="both"/>
              <w:rPr>
                <w:sz w:val="28"/>
                <w:szCs w:val="28"/>
              </w:rPr>
            </w:pPr>
            <w:r>
              <w:rPr>
                <w:sz w:val="28"/>
                <w:szCs w:val="28"/>
              </w:rPr>
            </w:r>
          </w:p>
        </w:tc>
      </w:tr>
      <w:tr>
        <w:trPr>
          <w:trHeight w:val="592" w:hRule="atLeast"/>
        </w:trPr>
        <w:tc>
          <w:tcPr>
            <w:tcW w:w="221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60" w:after="60"/>
              <w:jc w:val="both"/>
              <w:rPr>
                <w:i/>
                <w:i/>
                <w:sz w:val="28"/>
                <w:szCs w:val="28"/>
              </w:rPr>
            </w:pPr>
            <w:r>
              <w:rPr>
                <w:i/>
                <w:sz w:val="28"/>
                <w:szCs w:val="28"/>
              </w:rPr>
              <w:t>aggiungere linee se necessario</w:t>
            </w:r>
          </w:p>
        </w:tc>
        <w:tc>
          <w:tcPr>
            <w:tcW w:w="587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before="60" w:after="60"/>
              <w:jc w:val="both"/>
              <w:rPr>
                <w:sz w:val="28"/>
                <w:szCs w:val="28"/>
              </w:rPr>
            </w:pPr>
            <w:r>
              <w:rPr>
                <w:sz w:val="28"/>
                <w:szCs w:val="28"/>
              </w:rPr>
            </w:r>
          </w:p>
        </w:tc>
        <w:tc>
          <w:tcPr>
            <w:tcW w:w="153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60" w:after="60"/>
              <w:jc w:val="both"/>
              <w:rPr>
                <w:sz w:val="28"/>
                <w:szCs w:val="28"/>
              </w:rPr>
            </w:pPr>
            <w:r>
              <w:rPr>
                <w:sz w:val="28"/>
                <w:szCs w:val="28"/>
              </w:rPr>
            </w:r>
          </w:p>
        </w:tc>
      </w:tr>
      <w:tr>
        <w:trPr>
          <w:trHeight w:val="592" w:hRule="atLeast"/>
        </w:trPr>
        <w:tc>
          <w:tcPr>
            <w:tcW w:w="8088"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60" w:after="60"/>
              <w:jc w:val="both"/>
              <w:rPr>
                <w:b/>
                <w:b/>
                <w:sz w:val="28"/>
                <w:szCs w:val="28"/>
              </w:rPr>
            </w:pPr>
            <w:r>
              <w:rPr>
                <w:b/>
                <w:sz w:val="28"/>
                <w:szCs w:val="28"/>
              </w:rPr>
              <w:t>Totale</w:t>
            </w:r>
          </w:p>
        </w:tc>
        <w:tc>
          <w:tcPr>
            <w:tcW w:w="153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60" w:after="60"/>
              <w:jc w:val="both"/>
              <w:rPr>
                <w:sz w:val="28"/>
                <w:szCs w:val="28"/>
              </w:rPr>
            </w:pPr>
            <w:r>
              <w:rPr>
                <w:sz w:val="28"/>
                <w:szCs w:val="28"/>
              </w:rPr>
            </w:r>
          </w:p>
        </w:tc>
      </w:tr>
    </w:tbl>
    <w:p>
      <w:pPr>
        <w:pStyle w:val="Normal"/>
        <w:jc w:val="both"/>
        <w:rPr>
          <w:b/>
          <w:b/>
          <w:sz w:val="16"/>
          <w:szCs w:val="16"/>
        </w:rPr>
      </w:pPr>
      <w:r>
        <w:rPr>
          <w:b/>
          <w:sz w:val="16"/>
          <w:szCs w:val="16"/>
        </w:rPr>
      </w:r>
    </w:p>
    <w:tbl>
      <w:tblPr>
        <w:tblW w:w="9628" w:type="dxa"/>
        <w:jc w:val="left"/>
        <w:tblInd w:w="0" w:type="dxa"/>
        <w:tblCellMar>
          <w:top w:w="0" w:type="dxa"/>
          <w:left w:w="108" w:type="dxa"/>
          <w:bottom w:w="0" w:type="dxa"/>
          <w:right w:w="108" w:type="dxa"/>
        </w:tblCellMar>
        <w:tblLook w:firstRow="1" w:noVBand="1" w:lastRow="0" w:firstColumn="1" w:lastColumn="0" w:noHBand="0" w:val="04a0"/>
      </w:tblPr>
      <w:tblGrid>
        <w:gridCol w:w="3185"/>
        <w:gridCol w:w="6442"/>
      </w:tblGrid>
      <w:tr>
        <w:trPr>
          <w:trHeight w:val="594" w:hRule="atLeast"/>
        </w:trPr>
        <w:tc>
          <w:tcPr>
            <w:tcW w:w="318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60" w:after="60"/>
              <w:jc w:val="both"/>
              <w:rPr>
                <w:b/>
                <w:b/>
                <w:sz w:val="28"/>
                <w:szCs w:val="28"/>
              </w:rPr>
            </w:pPr>
            <w:r>
              <w:rPr>
                <w:b/>
                <w:sz w:val="28"/>
                <w:szCs w:val="28"/>
              </w:rPr>
              <w:t>Commissione proposta</w:t>
            </w:r>
          </w:p>
          <w:p>
            <w:pPr>
              <w:pStyle w:val="Normal"/>
              <w:spacing w:before="60" w:after="60"/>
              <w:jc w:val="both"/>
              <w:rPr>
                <w:sz w:val="28"/>
                <w:szCs w:val="28"/>
              </w:rPr>
            </w:pPr>
            <w:r>
              <w:rPr>
                <w:sz w:val="28"/>
                <w:szCs w:val="28"/>
              </w:rPr>
              <w:t xml:space="preserve">3 commissari + </w:t>
            </w:r>
          </w:p>
          <w:p>
            <w:pPr>
              <w:pStyle w:val="Normal"/>
              <w:spacing w:before="60" w:after="60"/>
              <w:jc w:val="both"/>
              <w:rPr>
                <w:sz w:val="28"/>
                <w:szCs w:val="28"/>
              </w:rPr>
            </w:pPr>
            <w:r>
              <w:rPr>
                <w:sz w:val="28"/>
                <w:szCs w:val="28"/>
              </w:rPr>
              <w:t>1 supplente</w:t>
            </w:r>
          </w:p>
        </w:tc>
        <w:tc>
          <w:tcPr>
            <w:tcW w:w="64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60" w:after="60"/>
              <w:jc w:val="both"/>
              <w:rPr>
                <w:sz w:val="28"/>
                <w:szCs w:val="28"/>
              </w:rPr>
            </w:pPr>
            <w:r>
              <w:rPr>
                <w:sz w:val="28"/>
                <w:szCs w:val="28"/>
              </w:rPr>
              <w:t xml:space="preserve">Prof. Giovanni Barbara </w:t>
            </w:r>
          </w:p>
        </w:tc>
      </w:tr>
      <w:tr>
        <w:trPr>
          <w:trHeight w:val="592" w:hRule="atLeast"/>
        </w:trPr>
        <w:tc>
          <w:tcPr>
            <w:tcW w:w="318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60" w:after="60"/>
              <w:jc w:val="both"/>
              <w:rPr>
                <w:b/>
                <w:b/>
                <w:sz w:val="28"/>
                <w:szCs w:val="28"/>
              </w:rPr>
            </w:pPr>
            <w:r>
              <w:rPr>
                <w:b/>
                <w:sz w:val="28"/>
                <w:szCs w:val="28"/>
              </w:rPr>
            </w:r>
          </w:p>
        </w:tc>
        <w:tc>
          <w:tcPr>
            <w:tcW w:w="64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60" w:after="60"/>
              <w:jc w:val="both"/>
              <w:rPr>
                <w:sz w:val="28"/>
                <w:szCs w:val="28"/>
              </w:rPr>
            </w:pPr>
            <w:r>
              <w:rPr>
                <w:sz w:val="28"/>
                <w:szCs w:val="28"/>
              </w:rPr>
              <w:t>Dott. Cesare Cremon</w:t>
            </w:r>
          </w:p>
        </w:tc>
      </w:tr>
      <w:tr>
        <w:trPr>
          <w:trHeight w:val="592" w:hRule="atLeast"/>
        </w:trPr>
        <w:tc>
          <w:tcPr>
            <w:tcW w:w="318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60" w:after="60"/>
              <w:jc w:val="both"/>
              <w:rPr>
                <w:b/>
                <w:b/>
                <w:sz w:val="28"/>
                <w:szCs w:val="28"/>
              </w:rPr>
            </w:pPr>
            <w:r>
              <w:rPr>
                <w:b/>
                <w:sz w:val="28"/>
                <w:szCs w:val="28"/>
              </w:rPr>
            </w:r>
          </w:p>
        </w:tc>
        <w:tc>
          <w:tcPr>
            <w:tcW w:w="64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60" w:after="60"/>
              <w:jc w:val="both"/>
              <w:rPr>
                <w:sz w:val="28"/>
                <w:szCs w:val="28"/>
              </w:rPr>
            </w:pPr>
            <w:r>
              <w:rPr>
                <w:sz w:val="28"/>
                <w:szCs w:val="28"/>
              </w:rPr>
              <w:t>Dott.ssa Maria Raffaella Barbaro</w:t>
            </w:r>
          </w:p>
        </w:tc>
      </w:tr>
      <w:tr>
        <w:trPr>
          <w:trHeight w:val="592" w:hRule="atLeast"/>
        </w:trPr>
        <w:tc>
          <w:tcPr>
            <w:tcW w:w="318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60" w:after="60"/>
              <w:jc w:val="both"/>
              <w:rPr>
                <w:b/>
                <w:b/>
                <w:sz w:val="28"/>
                <w:szCs w:val="28"/>
              </w:rPr>
            </w:pPr>
            <w:r>
              <w:rPr>
                <w:b/>
                <w:sz w:val="28"/>
                <w:szCs w:val="28"/>
              </w:rPr>
            </w:r>
          </w:p>
        </w:tc>
        <w:tc>
          <w:tcPr>
            <w:tcW w:w="64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60" w:after="60"/>
              <w:jc w:val="both"/>
              <w:rPr>
                <w:sz w:val="28"/>
                <w:szCs w:val="28"/>
              </w:rPr>
            </w:pPr>
            <w:r>
              <w:rPr>
                <w:sz w:val="28"/>
                <w:szCs w:val="28"/>
              </w:rPr>
              <w:t>Dott. Giovanni Marasco (supplente)</w:t>
            </w:r>
          </w:p>
        </w:tc>
      </w:tr>
    </w:tbl>
    <w:p>
      <w:pPr>
        <w:pStyle w:val="Normal"/>
        <w:jc w:val="both"/>
        <w:rPr>
          <w:b/>
          <w:b/>
          <w:sz w:val="16"/>
          <w:szCs w:val="16"/>
        </w:rPr>
      </w:pPr>
      <w:r>
        <w:rPr>
          <w:b/>
          <w:sz w:val="16"/>
          <w:szCs w:val="16"/>
        </w:rPr>
      </w:r>
    </w:p>
    <w:p>
      <w:pPr>
        <w:pStyle w:val="Normal"/>
        <w:jc w:val="both"/>
        <w:rPr>
          <w:b/>
          <w:b/>
          <w:sz w:val="16"/>
          <w:szCs w:val="16"/>
        </w:rPr>
      </w:pPr>
      <w:r>
        <w:rPr>
          <w:b/>
          <w:sz w:val="16"/>
          <w:szCs w:val="16"/>
        </w:rPr>
      </w:r>
    </w:p>
    <w:p>
      <w:pPr>
        <w:pStyle w:val="Normal"/>
        <w:jc w:val="both"/>
        <w:rPr>
          <w:b/>
          <w:b/>
          <w:sz w:val="16"/>
          <w:szCs w:val="16"/>
        </w:rPr>
      </w:pPr>
      <w:r>
        <w:rPr>
          <w:b/>
          <w:sz w:val="16"/>
          <w:szCs w:val="16"/>
        </w:rPr>
      </w:r>
    </w:p>
    <w:tbl>
      <w:tblPr>
        <w:tblW w:w="9628" w:type="dxa"/>
        <w:jc w:val="left"/>
        <w:tblInd w:w="0" w:type="dxa"/>
        <w:tblCellMar>
          <w:top w:w="0" w:type="dxa"/>
          <w:left w:w="108" w:type="dxa"/>
          <w:bottom w:w="0" w:type="dxa"/>
          <w:right w:w="108" w:type="dxa"/>
        </w:tblCellMar>
        <w:tblLook w:firstRow="1" w:noVBand="1" w:lastRow="0" w:firstColumn="1" w:lastColumn="0" w:noHBand="0" w:val="04a0"/>
      </w:tblPr>
      <w:tblGrid>
        <w:gridCol w:w="4834"/>
        <w:gridCol w:w="1632"/>
        <w:gridCol w:w="763"/>
        <w:gridCol w:w="66"/>
        <w:gridCol w:w="844"/>
        <w:gridCol w:w="1488"/>
      </w:tblGrid>
      <w:tr>
        <w:trPr/>
        <w:tc>
          <w:tcPr>
            <w:tcW w:w="9627" w:type="dxa"/>
            <w:gridSpan w:val="6"/>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60" w:after="60"/>
              <w:jc w:val="both"/>
              <w:rPr>
                <w:b/>
                <w:b/>
                <w:sz w:val="28"/>
                <w:szCs w:val="28"/>
              </w:rPr>
            </w:pPr>
            <w:r>
              <w:rPr>
                <w:b/>
                <w:sz w:val="28"/>
                <w:szCs w:val="28"/>
              </w:rPr>
              <w:t>TITOLO DEL PROGETTO</w:t>
            </w:r>
          </w:p>
        </w:tc>
      </w:tr>
      <w:tr>
        <w:trPr/>
        <w:tc>
          <w:tcPr>
            <w:tcW w:w="9627"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60" w:after="60"/>
              <w:jc w:val="both"/>
              <w:rPr>
                <w:sz w:val="28"/>
                <w:szCs w:val="28"/>
                <w:lang w:val="en-US"/>
              </w:rPr>
            </w:pPr>
            <w:r>
              <w:rPr>
                <w:b/>
                <w:sz w:val="28"/>
                <w:szCs w:val="28"/>
                <w:lang w:val="en-US"/>
              </w:rPr>
              <w:t>Development, dIagnostic and prevention of gender-related Somatic and mental COmorbitiEs in iRritable bowel syndrome In Europe — DISCOvERIE - WP2 "Case-control recruitment and follow up”</w:t>
            </w:r>
          </w:p>
        </w:tc>
      </w:tr>
      <w:tr>
        <w:trPr/>
        <w:tc>
          <w:tcPr>
            <w:tcW w:w="48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60" w:after="60"/>
              <w:jc w:val="both"/>
              <w:rPr>
                <w:sz w:val="21"/>
                <w:szCs w:val="21"/>
              </w:rPr>
            </w:pPr>
            <w:r>
              <w:rPr>
                <w:sz w:val="21"/>
                <w:szCs w:val="21"/>
              </w:rPr>
              <w:t>ASSEGNO FINANZIATO DA PROGETTO COMPETITIVO</w:t>
            </w:r>
          </w:p>
          <w:p>
            <w:pPr>
              <w:pStyle w:val="Normal"/>
              <w:spacing w:before="60" w:after="60"/>
              <w:jc w:val="both"/>
              <w:rPr>
                <w:sz w:val="28"/>
                <w:szCs w:val="28"/>
              </w:rPr>
            </w:pPr>
            <w:r>
              <w:rPr>
                <w:i/>
                <w:sz w:val="20"/>
                <w:szCs w:val="20"/>
              </w:rPr>
              <w:t>(barrare la casella corrispondente)</w:t>
            </w:r>
          </w:p>
        </w:tc>
        <w:tc>
          <w:tcPr>
            <w:tcW w:w="163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60" w:after="60"/>
              <w:jc w:val="center"/>
              <w:rPr/>
            </w:pPr>
            <w:r>
              <w:rPr>
                <w:sz w:val="44"/>
                <w:szCs w:val="28"/>
              </w:rPr>
              <w:t>x</w:t>
            </w:r>
            <w:r>
              <w:rPr>
                <w:sz w:val="44"/>
                <w:szCs w:val="28"/>
              </w:rPr>
              <w:t xml:space="preserve"> </w:t>
            </w:r>
            <w:r>
              <w:rPr>
                <w:sz w:val="28"/>
                <w:szCs w:val="28"/>
              </w:rPr>
              <w:t>SI</w:t>
            </w:r>
          </w:p>
        </w:tc>
        <w:tc>
          <w:tcPr>
            <w:tcW w:w="1673"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60" w:after="60"/>
              <w:jc w:val="center"/>
              <w:rPr>
                <w:sz w:val="28"/>
                <w:szCs w:val="28"/>
              </w:rPr>
            </w:pPr>
            <w:r>
              <w:rPr>
                <w:sz w:val="44"/>
                <w:szCs w:val="28"/>
              </w:rPr>
              <w:t xml:space="preserve">□ </w:t>
            </w:r>
            <w:r>
              <w:rPr>
                <w:sz w:val="28"/>
                <w:szCs w:val="28"/>
              </w:rPr>
              <w:t>NO</w:t>
            </w:r>
          </w:p>
        </w:tc>
        <w:tc>
          <w:tcPr>
            <w:tcW w:w="1488" w:type="dxa"/>
            <w:tcBorders>
              <w:top w:val="single" w:sz="4" w:space="0" w:color="000000"/>
              <w:left w:val="single" w:sz="4" w:space="0" w:color="000000"/>
              <w:bottom w:val="single" w:sz="4" w:space="0" w:color="000000"/>
              <w:right w:val="single" w:sz="4" w:space="0" w:color="000000"/>
            </w:tcBorders>
            <w:shd w:color="FFFF00" w:fill="auto" w:val="pct10"/>
            <w:vAlign w:val="center"/>
          </w:tcPr>
          <w:p>
            <w:pPr>
              <w:pStyle w:val="Normal"/>
              <w:spacing w:before="60" w:after="60"/>
              <w:jc w:val="both"/>
              <w:rPr>
                <w:b/>
                <w:b/>
                <w:sz w:val="28"/>
                <w:szCs w:val="28"/>
              </w:rPr>
            </w:pPr>
            <w:r>
              <w:rPr>
                <w:i/>
              </w:rPr>
              <w:t>Punti</w:t>
            </w:r>
          </w:p>
        </w:tc>
      </w:tr>
      <w:tr>
        <w:trPr/>
        <w:tc>
          <w:tcPr>
            <w:tcW w:w="48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60" w:after="60"/>
              <w:rPr>
                <w:sz w:val="28"/>
                <w:szCs w:val="28"/>
              </w:rPr>
            </w:pPr>
            <w:r>
              <w:rPr>
                <w:sz w:val="21"/>
                <w:szCs w:val="21"/>
              </w:rPr>
              <w:t xml:space="preserve">SE IL FINANZIAMENTO È COMPETITIVO L’ENTE FINANZIATORE </w:t>
            </w:r>
          </w:p>
        </w:tc>
        <w:tc>
          <w:tcPr>
            <w:tcW w:w="4793" w:type="dxa"/>
            <w:gridSpan w:val="5"/>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60" w:after="60"/>
              <w:jc w:val="both"/>
              <w:rPr>
                <w:sz w:val="28"/>
                <w:szCs w:val="28"/>
              </w:rPr>
            </w:pPr>
            <w:r>
              <w:rPr>
                <w:sz w:val="28"/>
                <w:szCs w:val="28"/>
                <w:lang w:val="en-US"/>
              </w:rPr>
              <w:t>Horizon 2020; Call: H2020-SC1-BHC-2018-2020; Topic: SC1-BHC-01-2019; Grant Agreement n° 848228</w:t>
            </w:r>
          </w:p>
        </w:tc>
      </w:tr>
      <w:tr>
        <w:trPr/>
        <w:tc>
          <w:tcPr>
            <w:tcW w:w="48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60" w:after="60"/>
              <w:rPr>
                <w:sz w:val="21"/>
                <w:szCs w:val="21"/>
              </w:rPr>
            </w:pPr>
            <w:r>
              <w:rPr>
                <w:sz w:val="21"/>
                <w:szCs w:val="21"/>
              </w:rPr>
              <w:t>PROGETTO/ATTIVITÀ A SCOPO COMMERCIALE</w:t>
            </w:r>
          </w:p>
          <w:p>
            <w:pPr>
              <w:pStyle w:val="Normal"/>
              <w:spacing w:before="60" w:after="60"/>
              <w:rPr>
                <w:i/>
                <w:i/>
                <w:sz w:val="21"/>
                <w:szCs w:val="21"/>
              </w:rPr>
            </w:pPr>
            <w:r>
              <w:rPr>
                <w:i/>
                <w:sz w:val="21"/>
                <w:szCs w:val="21"/>
              </w:rPr>
              <w:t>(es. sperimentazione profit)</w:t>
            </w:r>
          </w:p>
        </w:tc>
        <w:tc>
          <w:tcPr>
            <w:tcW w:w="239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60" w:after="60"/>
              <w:jc w:val="center"/>
              <w:rPr>
                <w:sz w:val="28"/>
                <w:szCs w:val="28"/>
              </w:rPr>
            </w:pPr>
            <w:r>
              <w:rPr>
                <w:sz w:val="44"/>
                <w:szCs w:val="28"/>
              </w:rPr>
              <w:t xml:space="preserve">□ </w:t>
            </w:r>
            <w:r>
              <w:rPr>
                <w:sz w:val="28"/>
                <w:szCs w:val="28"/>
              </w:rPr>
              <w:t>SI</w:t>
            </w:r>
          </w:p>
        </w:tc>
        <w:tc>
          <w:tcPr>
            <w:tcW w:w="2398"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60" w:after="60"/>
              <w:jc w:val="center"/>
              <w:rPr/>
            </w:pPr>
            <w:r>
              <w:rPr>
                <w:sz w:val="44"/>
                <w:szCs w:val="28"/>
              </w:rPr>
              <w:t>x</w:t>
            </w:r>
            <w:r>
              <w:rPr>
                <w:sz w:val="44"/>
                <w:szCs w:val="28"/>
              </w:rPr>
              <w:t xml:space="preserve"> </w:t>
            </w:r>
            <w:r>
              <w:rPr>
                <w:sz w:val="28"/>
                <w:szCs w:val="28"/>
              </w:rPr>
              <w:t>NO</w:t>
            </w:r>
          </w:p>
        </w:tc>
      </w:tr>
      <w:tr>
        <w:trPr/>
        <w:tc>
          <w:tcPr>
            <w:tcW w:w="48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60" w:after="60"/>
              <w:jc w:val="both"/>
              <w:rPr>
                <w:sz w:val="28"/>
                <w:szCs w:val="28"/>
              </w:rPr>
            </w:pPr>
            <w:r>
              <w:rPr>
                <w:sz w:val="21"/>
                <w:szCs w:val="21"/>
              </w:rPr>
              <w:t>CARATTERISTICHE DEL PROGETTO (</w:t>
            </w:r>
            <w:r>
              <w:rPr>
                <w:i/>
                <w:sz w:val="21"/>
                <w:szCs w:val="21"/>
              </w:rPr>
              <w:t>biomedico/osservazionale/clinico-interventistico/multidisciplinare</w:t>
            </w:r>
            <w:r>
              <w:rPr>
                <w:sz w:val="21"/>
                <w:szCs w:val="21"/>
              </w:rPr>
              <w:t>)</w:t>
            </w:r>
          </w:p>
        </w:tc>
        <w:tc>
          <w:tcPr>
            <w:tcW w:w="4793" w:type="dxa"/>
            <w:gridSpan w:val="5"/>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60" w:after="60"/>
              <w:jc w:val="both"/>
              <w:rPr>
                <w:sz w:val="28"/>
                <w:szCs w:val="28"/>
              </w:rPr>
            </w:pPr>
            <w:r>
              <w:rPr>
                <w:sz w:val="28"/>
                <w:szCs w:val="28"/>
              </w:rPr>
              <w:t>Interventistico non farmacologico</w:t>
            </w:r>
          </w:p>
        </w:tc>
      </w:tr>
      <w:tr>
        <w:trPr/>
        <w:tc>
          <w:tcPr>
            <w:tcW w:w="48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60" w:after="60"/>
              <w:jc w:val="both"/>
              <w:rPr>
                <w:sz w:val="21"/>
                <w:szCs w:val="21"/>
              </w:rPr>
            </w:pPr>
            <w:r>
              <w:rPr>
                <w:sz w:val="21"/>
                <w:szCs w:val="21"/>
              </w:rPr>
              <w:t>STATO DI APPROVAZIONE DEL PROGETTO DA PARTE DEL COMITATO ETICO (</w:t>
            </w:r>
            <w:r>
              <w:rPr>
                <w:i/>
                <w:sz w:val="21"/>
                <w:szCs w:val="21"/>
              </w:rPr>
              <w:t>se necessario per il tipo di studio barrare o evidenziare la casella corrispondente</w:t>
            </w:r>
            <w:r>
              <w:rPr>
                <w:sz w:val="21"/>
                <w:szCs w:val="21"/>
              </w:rPr>
              <w:t>)</w:t>
            </w:r>
          </w:p>
        </w:tc>
        <w:tc>
          <w:tcPr>
            <w:tcW w:w="2461"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60" w:after="60"/>
              <w:jc w:val="center"/>
              <w:rPr/>
            </w:pPr>
            <w:r>
              <w:rPr>
                <w:sz w:val="44"/>
                <w:szCs w:val="28"/>
              </w:rPr>
              <w:t>x</w:t>
            </w:r>
            <w:r>
              <w:rPr>
                <w:sz w:val="28"/>
                <w:szCs w:val="28"/>
              </w:rPr>
              <w:t xml:space="preserve"> Ottenuto</w:t>
            </w:r>
          </w:p>
        </w:tc>
        <w:tc>
          <w:tcPr>
            <w:tcW w:w="233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60" w:after="60"/>
              <w:jc w:val="center"/>
              <w:rPr>
                <w:sz w:val="28"/>
                <w:szCs w:val="28"/>
              </w:rPr>
            </w:pPr>
            <w:r>
              <w:rPr>
                <w:sz w:val="44"/>
                <w:szCs w:val="28"/>
              </w:rPr>
              <w:t xml:space="preserve">□ </w:t>
            </w:r>
            <w:r>
              <w:rPr>
                <w:sz w:val="28"/>
                <w:szCs w:val="28"/>
              </w:rPr>
              <w:t>Da ottenere</w:t>
            </w:r>
          </w:p>
        </w:tc>
      </w:tr>
      <w:tr>
        <w:trPr/>
        <w:tc>
          <w:tcPr>
            <w:tcW w:w="8139" w:type="dxa"/>
            <w:gridSpan w:val="5"/>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60" w:after="60"/>
              <w:jc w:val="both"/>
              <w:rPr>
                <w:b/>
                <w:b/>
                <w:sz w:val="28"/>
                <w:szCs w:val="28"/>
              </w:rPr>
            </w:pPr>
            <w:r>
              <w:rPr>
                <w:b/>
                <w:sz w:val="28"/>
                <w:szCs w:val="28"/>
              </w:rPr>
              <w:t>DESCRIZIONE DEL PROGETTO</w:t>
            </w:r>
            <w:r>
              <w:rPr>
                <w:sz w:val="28"/>
                <w:szCs w:val="28"/>
              </w:rPr>
              <w:t xml:space="preserve"> </w:t>
            </w:r>
            <w:r>
              <w:rPr>
                <w:i/>
                <w:sz w:val="20"/>
                <w:szCs w:val="20"/>
              </w:rPr>
              <w:t>(max 800 parole)</w:t>
            </w:r>
          </w:p>
        </w:tc>
        <w:tc>
          <w:tcPr>
            <w:tcW w:w="1488" w:type="dxa"/>
            <w:tcBorders>
              <w:top w:val="single" w:sz="4" w:space="0" w:color="000000"/>
              <w:left w:val="single" w:sz="4" w:space="0" w:color="000000"/>
              <w:bottom w:val="single" w:sz="4" w:space="0" w:color="000000"/>
              <w:right w:val="single" w:sz="4" w:space="0" w:color="000000"/>
            </w:tcBorders>
            <w:shd w:color="FFFF00" w:fill="auto" w:val="pct10"/>
            <w:vAlign w:val="center"/>
          </w:tcPr>
          <w:p>
            <w:pPr>
              <w:pStyle w:val="Normal"/>
              <w:spacing w:before="60" w:after="60"/>
              <w:jc w:val="both"/>
              <w:rPr>
                <w:b/>
                <w:b/>
                <w:sz w:val="28"/>
                <w:szCs w:val="28"/>
              </w:rPr>
            </w:pPr>
            <w:r>
              <w:rPr>
                <w:i/>
              </w:rPr>
              <w:t>Punti</w:t>
            </w:r>
          </w:p>
        </w:tc>
      </w:tr>
      <w:tr>
        <w:trPr>
          <w:trHeight w:val="4178" w:hRule="atLeast"/>
        </w:trPr>
        <w:tc>
          <w:tcPr>
            <w:tcW w:w="9627"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Web"/>
              <w:spacing w:beforeAutospacing="0" w:before="0" w:afterAutospacing="0" w:after="120"/>
              <w:jc w:val="both"/>
              <w:rPr/>
            </w:pPr>
            <w:r>
              <w:rPr>
                <w:b/>
                <w:sz w:val="21"/>
                <w:szCs w:val="21"/>
              </w:rPr>
              <w:t>(1)obiettivi, (2)materiali e metodi, (3) risultati/impatto attesi, (4) attività formativa e (5) di ricerca dell’assegnista</w:t>
            </w:r>
          </w:p>
          <w:p>
            <w:pPr>
              <w:pStyle w:val="NormalWeb"/>
              <w:spacing w:beforeAutospacing="0" w:before="280" w:afterAutospacing="0" w:after="120"/>
              <w:jc w:val="both"/>
              <w:rPr/>
            </w:pPr>
            <w:r>
              <w:rPr>
                <w:b/>
                <w:sz w:val="21"/>
                <w:szCs w:val="21"/>
              </w:rPr>
              <w:t>Stato dell’Arte e Razionale</w:t>
            </w:r>
          </w:p>
          <w:p>
            <w:pPr>
              <w:pStyle w:val="Normal"/>
              <w:jc w:val="both"/>
              <w:rPr/>
            </w:pPr>
            <w:r>
              <w:rPr>
                <w:sz w:val="21"/>
                <w:szCs w:val="21"/>
              </w:rPr>
              <w:t>La sindrome dell’intestino irritabile (</w:t>
            </w:r>
            <w:r>
              <w:rPr>
                <w:i/>
                <w:sz w:val="21"/>
                <w:szCs w:val="21"/>
              </w:rPr>
              <w:t xml:space="preserve">irritable bowel syndrome </w:t>
            </w:r>
            <w:r>
              <w:rPr>
                <w:sz w:val="21"/>
                <w:szCs w:val="21"/>
              </w:rPr>
              <w:t>IBS) è un disordine funzionale gastrointestinale con un importante impatto a livello personale e sulla società. La rilevanza sociale dell’IBS è enorme e in crescita poiché un ampio sottoinsieme di pazienti può soffrire di una bassa qualità di vita, dovuta al carattere cronico, da una comprensione incompleta della fisiopatologia e dell'eziologia della malattia, dalla mancanza di biomarcatori sensibili e specifici per la sua prevenzione, da una diagnosi e prognosi positiva e da una gestione insoddisfacente della stessa. Oltre a sintomi GI debilitanti, la gravità clinica dell’IBS e il fallimento del trattamento sono notevolmente amplificati dalla presenza comune di comorbidità somatiche e mentali, che aggravano il problema in questo gruppo di pazienti. La ricerca sull’IBS è estremamente impegnativa a causa della marcata eterogeneità delle popolazioni di pazienti e dell'eziologia multifattoriale e della patogenesi della malattia, con alti tassi di comorbidità sia per i disturbi affettivi (ansia, depressione) che somatici (es. fibromialgia) che aggiungono ulteriore complessità al quadro. Nella recente consensus Rome IV (https://theromefoundation.org/Rome IV), l’IBS è esplicitamente concettualizzata come un disturbo delle interazioni dell’asse cervello-intestino, il che può spiegare l'alto tasso di comorbidità. Infatti, tutti i livelli dell'asse (microbioma)-cervello-intestino sono implicati nella fisiopatologia dell’IBS, compresi la composizione e la funzione del microbiota, della barriera mucosale, i processi immunitari sistemici e mucosali, la motilità del tratto GI, la sensibilità allo stress neuroendocrino e la funzione dei neurocircuiti nocicettivi e cognitivo-affettivi. Tuttavia, la natura delle interazioni tra questi livelli rimane poco conosciuta. Ci sono prove che un certo numero di questi meccanismi svolgano un ruolo anche nei disturbi affettivi e in altre sindromi somatiche funzionali, ma il loro ruolo nella generazione di co-morbidità somatico-affettiva non è stato ampiamente studiato. Sulla base di queste premesse è necessario creare per l’IBS un ampio database di risultati ottenuti su campioni ematici, DNA, biopsie mucosali gastrointestinali, urine e campioni fecali provenienti da individui clinicamente ben caratterizzati per poter comprendere il ruolo dei fattori coinvolti in questo disordine.</w:t>
            </w:r>
          </w:p>
          <w:p>
            <w:pPr>
              <w:pStyle w:val="NormalWeb"/>
              <w:spacing w:beforeAutospacing="0" w:before="280" w:afterAutospacing="0" w:after="120"/>
              <w:jc w:val="both"/>
              <w:rPr/>
            </w:pPr>
            <w:r>
              <w:rPr>
                <w:b/>
                <w:sz w:val="21"/>
                <w:szCs w:val="21"/>
              </w:rPr>
              <w:t>Obiettivi</w:t>
            </w:r>
          </w:p>
          <w:p>
            <w:pPr>
              <w:pStyle w:val="Normal"/>
              <w:jc w:val="both"/>
              <w:rPr/>
            </w:pPr>
            <w:r>
              <w:rPr>
                <w:sz w:val="21"/>
                <w:szCs w:val="21"/>
              </w:rPr>
              <w:t xml:space="preserve">Obiettivo di tale studio è la raccolta di campioni biologici da un’ampia coorte di pazienti affetti da IBS. L’ipotesi principale è che le persone che soffrono di IBS e di comorbidità mentali e somatiche rappresentino una popolazione clinica distinta rispetto ai pazienti affetti solo da IBS. In questa popolazione di pazienti con IBS e comorbidità, le manifestazioni cliniche sono guidate da anomalie nelle interazioni tra cervello e intestino, determinate dal genere e da specifici ma indefiniti meccanismi causali. L'identificazione e la convalida di questi meccanismi possono aiutare nella diagnosi precoce, nella prevenzione e nel trattamento dei pazienti affetti, migliorando così il benessere e riducendo il carico socioeconomico associato. </w:t>
            </w:r>
          </w:p>
          <w:p>
            <w:pPr>
              <w:pStyle w:val="Normal"/>
              <w:jc w:val="both"/>
              <w:rPr/>
            </w:pPr>
            <w:r>
              <w:rPr>
                <w:sz w:val="21"/>
                <w:szCs w:val="21"/>
              </w:rPr>
              <w:t>Alla luce di tali premesse, gli obiettivi da svolgere sono i seguenti:</w:t>
            </w:r>
          </w:p>
          <w:p>
            <w:pPr>
              <w:pStyle w:val="Normal"/>
              <w:spacing w:lineRule="auto" w:line="276" w:before="0" w:after="200"/>
              <w:jc w:val="both"/>
              <w:rPr/>
            </w:pPr>
            <w:r>
              <w:rPr>
                <w:sz w:val="21"/>
                <w:szCs w:val="21"/>
              </w:rPr>
              <w:t xml:space="preserve">-Una caratterizzazione clinica, psicosociale e fenotipica delle categorie di soggetti.                                                  -Raccogliere e distribuire campioni biologici dei pazienti agli altri centri coinvolti per le analisi genetiche, del microbiota, sulle interazioni cervello-intestino e la funzione di barriera epiteliale intestinale. </w:t>
              <w:br/>
              <w:t xml:space="preserve">-Raccolta di biopsie del colon per valutare la barriera intestinale e i meccanismi neuroimmuni alla base delle disfunzioni gastrointestinali. </w:t>
            </w:r>
          </w:p>
          <w:p>
            <w:pPr>
              <w:pStyle w:val="NormalWeb"/>
              <w:spacing w:beforeAutospacing="0" w:before="280" w:afterAutospacing="0" w:after="120"/>
              <w:jc w:val="both"/>
              <w:rPr/>
            </w:pPr>
            <w:r>
              <w:rPr>
                <w:b/>
                <w:sz w:val="21"/>
                <w:szCs w:val="21"/>
              </w:rPr>
              <w:t>M</w:t>
            </w:r>
            <w:r>
              <w:rPr>
                <w:b/>
                <w:sz w:val="21"/>
                <w:szCs w:val="21"/>
              </w:rPr>
              <w:t>ateriali e metodi</w:t>
            </w:r>
          </w:p>
          <w:p>
            <w:pPr>
              <w:pStyle w:val="NormalWeb"/>
              <w:spacing w:beforeAutospacing="0" w:before="280" w:afterAutospacing="0" w:after="120"/>
              <w:jc w:val="both"/>
              <w:rPr/>
            </w:pPr>
            <w:r>
              <w:rPr>
                <w:sz w:val="21"/>
                <w:szCs w:val="21"/>
              </w:rPr>
              <w:t>Presso l’endoscopia digestiva U.O. di Medicina Interna – Stanghellini saranno reclutati pazienti affetti da IBS per i peridoi di follow-up.</w:t>
            </w:r>
            <w:r>
              <w:rPr>
                <w:b/>
                <w:sz w:val="21"/>
                <w:szCs w:val="21"/>
              </w:rPr>
              <w:t xml:space="preserve"> </w:t>
            </w:r>
            <w:r>
              <w:rPr>
                <w:sz w:val="21"/>
                <w:szCs w:val="21"/>
              </w:rPr>
              <w:t>I soggetti saranno caratterizzati secondo lo strumento di fenotipizzazione di recente istituzione (https://www.genieur.eu/index.php?main=home&amp;subcat=Phenotyping%20Tool) del COST Action BM1106 GENIEUR, con l'aggiunta dei criteri diagnostici aggiornati per l’IBS, criteri di Roma IV, e la valutazione psicosociale con criteri diagnostici convalidati per la depressione, l'ansia, i disturbi somatoformi e le comorbidità somatiche (fibromialgia e sindrome da fatica cronica). Inoltre, la gravità di queste comorbidità sarà valutata con interviste standardizzate ai pazienti e questionari convalidati. Genere, anamnesi dettagliata, farmaci, fattori ereditari, infezioni e stile di vita, verranno considerati. I dati clinici, così come le CRF e i questionari, saranno raccolti utilizzando una piattaforma digitale multilingue creata per questo progetto (Electronic data capture, CASTOR). Ad una parte dei pazienti affetti da IBS (30/102 pazienti) sarà proposto l’utilizzo di un'applicazione (MEASuRE) basata sull'ESM-(metodo di campionamento dell'esperienza) PROM (misurazione dei risultati dichiarati dal paziente) per la valutazione immediata (e casuale) dei sintomi dell’IBS. Tale app prevede la somministrazione di un questionario, volto alla valutazione quotidiana della gravità e dei sintomi digestivi e a identificare potenziali trigger ecologici e psicosociali al momento della valutazione dei sintomi. I pazienti effettueranno anche un monitoraggio e-Health utilizzando la piattaforma HumaITcare, in modo non invasivo, attraverso i sensori di dispositivi indossabili e dei loro smartphone, combinandoli con le risposte dei questionari clinici. In particolare, verranno registrate le variabili fisiologiche correlate allo stress (come: frequenza cardiaca, movimento), così come modelli di sonno e le interazioni sociali.</w:t>
            </w:r>
          </w:p>
          <w:p>
            <w:pPr>
              <w:pStyle w:val="NormalWeb"/>
              <w:spacing w:beforeAutospacing="0" w:before="280" w:afterAutospacing="0" w:after="120"/>
              <w:jc w:val="both"/>
              <w:rPr/>
            </w:pPr>
            <w:r>
              <w:rPr>
                <w:b/>
                <w:sz w:val="21"/>
                <w:szCs w:val="21"/>
              </w:rPr>
              <w:t>Risultati attesi</w:t>
            </w:r>
          </w:p>
          <w:p>
            <w:pPr>
              <w:pStyle w:val="Normal"/>
              <w:jc w:val="both"/>
              <w:rPr/>
            </w:pPr>
            <w:r>
              <w:rPr>
                <w:sz w:val="21"/>
                <w:szCs w:val="21"/>
              </w:rPr>
              <w:t>Sulla base di queste premesse il presente studio è volto alla creazione di un ampio database per l’IBS con i risultati ottenuti su campioni ematici, DNA, biopsie mucosali gastrointestinali, urine e campioni fecali provenienti da individui clinicamente ben caratterizzati per poter comprendere il ruolo dei fattori coinvolti in questo disordine. Il fine ultimo di tale studio è quello di migliorare le conoscenze sui meccanismi molecolari e genetici coinvolti nella fisiopatologia dell’IBS, basandosi su informazioni demografiche e cliniche di alta qualità nonché su campioni biologici collezionati da un gran numero di pazienti affetti da IBS confrontandoli con soggetti sani.</w:t>
            </w:r>
          </w:p>
          <w:p>
            <w:pPr>
              <w:pStyle w:val="Normal"/>
              <w:spacing w:beforeAutospacing="0" w:before="0" w:afterAutospacing="0" w:after="120"/>
              <w:jc w:val="both"/>
              <w:rPr>
                <w:b/>
                <w:b/>
                <w:sz w:val="21"/>
                <w:szCs w:val="21"/>
              </w:rPr>
            </w:pPr>
            <w:r>
              <w:rPr>
                <w:sz w:val="21"/>
                <w:szCs w:val="21"/>
              </w:rPr>
            </w:r>
            <w:bookmarkStart w:id="0" w:name="_GoBack"/>
            <w:bookmarkStart w:id="1" w:name="_GoBack"/>
            <w:bookmarkEnd w:id="1"/>
          </w:p>
        </w:tc>
      </w:tr>
      <w:tr>
        <w:trPr/>
        <w:tc>
          <w:tcPr>
            <w:tcW w:w="8139" w:type="dxa"/>
            <w:gridSpan w:val="5"/>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60" w:after="60"/>
              <w:jc w:val="both"/>
              <w:rPr>
                <w:sz w:val="28"/>
                <w:szCs w:val="28"/>
              </w:rPr>
            </w:pPr>
            <w:r>
              <w:rPr>
                <w:b/>
                <w:sz w:val="28"/>
                <w:szCs w:val="28"/>
              </w:rPr>
              <w:t>DESCRIZIONE DELLE ATTIVITÀ DELL’ASSEGNISTA</w:t>
            </w:r>
            <w:r>
              <w:rPr>
                <w:sz w:val="28"/>
                <w:szCs w:val="28"/>
              </w:rPr>
              <w:t xml:space="preserve"> </w:t>
            </w:r>
          </w:p>
          <w:p>
            <w:pPr>
              <w:pStyle w:val="Normal"/>
              <w:spacing w:before="60" w:after="60"/>
              <w:jc w:val="both"/>
              <w:rPr>
                <w:i/>
                <w:i/>
                <w:sz w:val="20"/>
                <w:szCs w:val="20"/>
              </w:rPr>
            </w:pPr>
            <w:r>
              <w:rPr>
                <w:i/>
                <w:sz w:val="20"/>
                <w:szCs w:val="20"/>
              </w:rPr>
              <w:t xml:space="preserve">(per i </w:t>
            </w:r>
            <w:r>
              <w:rPr>
                <w:b/>
                <w:i/>
                <w:sz w:val="20"/>
                <w:szCs w:val="20"/>
                <w:u w:val="single"/>
              </w:rPr>
              <w:t>nuovi</w:t>
            </w:r>
            <w:r>
              <w:rPr>
                <w:i/>
                <w:sz w:val="20"/>
                <w:szCs w:val="20"/>
              </w:rPr>
              <w:t xml:space="preserve"> assegni: max 400 parole; competenze richieste, scansione temporale della formazione, scansione temporale dell’attività, obiettivi primari e secondari)</w:t>
            </w:r>
          </w:p>
          <w:p>
            <w:pPr>
              <w:pStyle w:val="Normal"/>
              <w:spacing w:before="60" w:after="60"/>
              <w:jc w:val="both"/>
              <w:rPr>
                <w:i/>
                <w:i/>
                <w:sz w:val="20"/>
                <w:szCs w:val="20"/>
              </w:rPr>
            </w:pPr>
            <w:r>
              <w:rPr>
                <w:i/>
                <w:sz w:val="20"/>
                <w:szCs w:val="20"/>
              </w:rPr>
              <w:t xml:space="preserve">(per i </w:t>
            </w:r>
            <w:r>
              <w:rPr>
                <w:b/>
                <w:i/>
                <w:sz w:val="20"/>
                <w:szCs w:val="20"/>
                <w:u w:val="single"/>
              </w:rPr>
              <w:t>rinnovi</w:t>
            </w:r>
            <w:r>
              <w:rPr>
                <w:i/>
                <w:sz w:val="20"/>
                <w:szCs w:val="20"/>
              </w:rPr>
              <w:t>: max 600 parole – da integrare con la relazione dell’assegnista; formazione raggiunta, attività effettuata, obiettivi raggiunti/competenze acquisite, formazione ancora da acquisire (se pertinente), scansione temporale dell’attività durante il rinnovo)</w:t>
            </w:r>
          </w:p>
        </w:tc>
        <w:tc>
          <w:tcPr>
            <w:tcW w:w="1488" w:type="dxa"/>
            <w:tcBorders>
              <w:top w:val="single" w:sz="4" w:space="0" w:color="000000"/>
              <w:left w:val="single" w:sz="4" w:space="0" w:color="000000"/>
              <w:bottom w:val="single" w:sz="4" w:space="0" w:color="000000"/>
              <w:right w:val="single" w:sz="4" w:space="0" w:color="000000"/>
            </w:tcBorders>
            <w:shd w:color="FFFF00" w:fill="auto" w:val="pct10"/>
            <w:vAlign w:val="center"/>
          </w:tcPr>
          <w:p>
            <w:pPr>
              <w:pStyle w:val="Normal"/>
              <w:spacing w:before="60" w:after="60"/>
              <w:jc w:val="both"/>
              <w:rPr>
                <w:b/>
                <w:b/>
                <w:sz w:val="28"/>
                <w:szCs w:val="28"/>
              </w:rPr>
            </w:pPr>
            <w:r>
              <w:rPr>
                <w:i/>
              </w:rPr>
              <w:t>Punti</w:t>
            </w:r>
          </w:p>
        </w:tc>
      </w:tr>
      <w:tr>
        <w:trPr>
          <w:trHeight w:val="3090" w:hRule="atLeast"/>
        </w:trPr>
        <w:tc>
          <w:tcPr>
            <w:tcW w:w="9627"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Web"/>
              <w:spacing w:before="0" w:after="120"/>
              <w:jc w:val="both"/>
              <w:rPr/>
            </w:pPr>
            <w:r>
              <w:rPr>
                <w:b/>
                <w:sz w:val="21"/>
                <w:szCs w:val="21"/>
              </w:rPr>
              <w:t>Mesi 1-12:</w:t>
            </w:r>
            <w:r>
              <w:rPr>
                <w:sz w:val="21"/>
                <w:szCs w:val="21"/>
              </w:rPr>
              <w:t xml:space="preserve"> Nell'ambito del progetto ‘Development, dIagnostic and prevention of gender-related Somatic and mental COmorbitiEs in iRritable bowel syndrome In Europe’ — ‘DISCOvERIE’ finanziato dalla Commissione Europea (Grant agreement 848228), l'assegnista si occuperà delle attività previste nel WP2 "Case-control recruitment and follow up”, ovvero del reclutamento dei pazienti, raccolta dei dati clinici e sintomatologici, raccolta dei campioni ematici, di urine, di feci e campionamento di biopsie del colon. L’assegnista collaborerà alla fenotipizzazione dei pazienti e della valutazione della gravità delle comorbidità attraverso i seguenti strumenti (https://www.genieur.eu/index.php?main=home&amp;subcat=Phenotyping%20Tool) del COST Action BM1106 GENIEUR, con l'aggiunta dei criteri diagnostici aggiornati per l’IBS, criteri di Roma IV, e la valutazione psicosociale con criteri diagnostici convalidati per la depressione, l'ansia, i disturbi somatoformi e le comorbidità somatiche (fibromialgia e sindrome da fatica cronica). Inoltre, la gravità di queste comorbidità sarà valutata con interviste standardizzate ai pazienti e questionari convalidati. Genere, anamnesi dettagliata, farmaci, fattori ereditari, infezioni e stile di vita, verranno considerati. I dati clinici, così come le CRF e i questionari, saranno raccolti utilizzando una piattaforma digitale multilingue creata per questo progetto (Electronic data capture, CASTOR).</w:t>
            </w:r>
            <w:r>
              <w:rPr/>
              <w:t xml:space="preserve"> </w:t>
            </w:r>
            <w:r>
              <w:rPr>
                <w:sz w:val="21"/>
                <w:szCs w:val="21"/>
              </w:rPr>
              <w:t>L’assegnista si occuperà dell’attivazione dell’applicazione (MEASuRE) basata sull'ESM-(metodo di campionamento dell'esperienza) PROM (misurazione dei risultati dichiarati dal paziente) per la valutazione immediata (e casuale) dei sintomi dell’IBS. Inoltre, si occuperà dell’attivazione del sistema di monitoraggio e-Health.</w:t>
            </w:r>
            <w:bookmarkStart w:id="2" w:name="_GoBack1"/>
            <w:bookmarkEnd w:id="2"/>
          </w:p>
          <w:p>
            <w:pPr>
              <w:pStyle w:val="NormalWeb"/>
              <w:spacing w:beforeAutospacing="0" w:before="280" w:afterAutospacing="0" w:after="120"/>
              <w:jc w:val="both"/>
              <w:rPr>
                <w:color w:val="000000"/>
                <w:sz w:val="21"/>
                <w:szCs w:val="21"/>
              </w:rPr>
            </w:pPr>
            <w:r>
              <w:rPr>
                <w:color w:val="000000"/>
                <w:sz w:val="22"/>
                <w:szCs w:val="21"/>
              </w:rPr>
              <w:t>La formazione dell’assegnista avverrà tramite affiancamento con personale esperto.</w:t>
            </w:r>
          </w:p>
        </w:tc>
      </w:tr>
    </w:tbl>
    <w:p>
      <w:pPr>
        <w:pStyle w:val="Normal"/>
        <w:jc w:val="both"/>
        <w:rPr>
          <w:color w:val="FF0000"/>
        </w:rPr>
      </w:pPr>
      <w:r>
        <w:rPr>
          <w:color w:val="FF0000"/>
        </w:rPr>
        <w:t>SE RINNOVO, SI RICORDA DI ALLEGARE ANCHE LA RELAZIONE DELL’ASSEGNISTA CON LA SUA PRODUZIONE SCIENTIFICA.</w:t>
      </w:r>
    </w:p>
    <w:p>
      <w:pPr>
        <w:pStyle w:val="Normal"/>
        <w:rPr>
          <w:color w:val="FF0000"/>
          <w:sz w:val="18"/>
        </w:rPr>
      </w:pPr>
      <w:r>
        <w:rPr>
          <w:color w:val="FF0000"/>
          <w:sz w:val="18"/>
        </w:rPr>
      </w:r>
    </w:p>
    <w:p>
      <w:pPr>
        <w:pStyle w:val="Normal"/>
        <w:spacing w:before="0" w:after="60"/>
        <w:ind w:left="720" w:hanging="0"/>
        <w:jc w:val="right"/>
        <w:rPr>
          <w:i/>
          <w:i/>
        </w:rPr>
      </w:pPr>
      <w:r>
        <w:rPr>
          <w:i/>
        </w:rPr>
        <w:t>Scheda attività assistenziale (se prevista)</w:t>
      </w:r>
    </w:p>
    <w:tbl>
      <w:tblPr>
        <w:tblW w:w="9889" w:type="dxa"/>
        <w:jc w:val="left"/>
        <w:tblInd w:w="0" w:type="dxa"/>
        <w:tblCellMar>
          <w:top w:w="0" w:type="dxa"/>
          <w:left w:w="108" w:type="dxa"/>
          <w:bottom w:w="0" w:type="dxa"/>
          <w:right w:w="108" w:type="dxa"/>
        </w:tblCellMar>
        <w:tblLook w:firstRow="1" w:noVBand="1" w:lastRow="0" w:firstColumn="1" w:lastColumn="0" w:noHBand="0" w:val="04a0"/>
      </w:tblPr>
      <w:tblGrid>
        <w:gridCol w:w="9889"/>
      </w:tblGrid>
      <w:tr>
        <w:trPr/>
        <w:tc>
          <w:tcPr>
            <w:tcW w:w="988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60" w:after="60"/>
              <w:jc w:val="both"/>
              <w:rPr>
                <w:b/>
                <w:b/>
                <w:color w:val="FF0000"/>
              </w:rPr>
            </w:pPr>
            <w:r>
              <w:rPr>
                <w:b/>
                <w:color w:val="FF0000"/>
              </w:rPr>
              <w:t>ATTIVITÀ ASSISTENZIALI DELL’ASSEGNISTA/ N. ORE SETTIMANA</w:t>
            </w:r>
          </w:p>
        </w:tc>
      </w:tr>
      <w:tr>
        <w:trPr/>
        <w:tc>
          <w:tcPr>
            <w:tcW w:w="9889" w:type="dxa"/>
            <w:tcBorders>
              <w:top w:val="single" w:sz="4" w:space="0" w:color="000000"/>
              <w:left w:val="single" w:sz="4" w:space="0" w:color="000000"/>
              <w:bottom w:val="single" w:sz="4" w:space="0" w:color="000000"/>
              <w:right w:val="single" w:sz="4" w:space="0" w:color="000000"/>
            </w:tcBorders>
            <w:shd w:fill="auto" w:val="clear"/>
          </w:tcPr>
          <w:p>
            <w:pPr>
              <w:pStyle w:val="NormalWeb"/>
              <w:spacing w:beforeAutospacing="0" w:before="0" w:afterAutospacing="0" w:after="120"/>
              <w:jc w:val="both"/>
              <w:rPr>
                <w:color w:val="000000"/>
                <w:sz w:val="21"/>
                <w:szCs w:val="21"/>
              </w:rPr>
            </w:pPr>
            <w:r>
              <w:rPr>
                <w:color w:val="000000"/>
                <w:sz w:val="21"/>
                <w:szCs w:val="21"/>
              </w:rPr>
              <w:t>Si, 18 settimanali</w:t>
            </w:r>
          </w:p>
        </w:tc>
      </w:tr>
      <w:tr>
        <w:trPr/>
        <w:tc>
          <w:tcPr>
            <w:tcW w:w="9889" w:type="dxa"/>
            <w:tcBorders>
              <w:top w:val="single" w:sz="4" w:space="0" w:color="000000"/>
              <w:left w:val="single" w:sz="4" w:space="0" w:color="000000"/>
              <w:bottom w:val="single" w:sz="4" w:space="0" w:color="000000"/>
              <w:right w:val="single" w:sz="4" w:space="0" w:color="000000"/>
            </w:tcBorders>
            <w:shd w:fill="auto" w:val="clear"/>
          </w:tcPr>
          <w:p>
            <w:pPr>
              <w:pStyle w:val="NormalWeb"/>
              <w:spacing w:beforeAutospacing="0" w:before="0" w:afterAutospacing="0" w:after="120"/>
              <w:jc w:val="both"/>
              <w:rPr>
                <w:color w:val="FF0000"/>
                <w:sz w:val="21"/>
                <w:szCs w:val="21"/>
              </w:rPr>
            </w:pPr>
            <w:r>
              <w:rPr>
                <w:color w:val="FF0000"/>
                <w:sz w:val="21"/>
                <w:szCs w:val="21"/>
              </w:rPr>
            </w:r>
          </w:p>
        </w:tc>
      </w:tr>
      <w:tr>
        <w:trPr/>
        <w:tc>
          <w:tcPr>
            <w:tcW w:w="9889" w:type="dxa"/>
            <w:tcBorders>
              <w:top w:val="single" w:sz="4" w:space="0" w:color="000000"/>
              <w:left w:val="single" w:sz="4" w:space="0" w:color="000000"/>
              <w:bottom w:val="single" w:sz="4" w:space="0" w:color="000000"/>
              <w:right w:val="single" w:sz="4" w:space="0" w:color="000000"/>
            </w:tcBorders>
            <w:shd w:fill="auto" w:val="clear"/>
          </w:tcPr>
          <w:p>
            <w:pPr>
              <w:pStyle w:val="NormalWeb"/>
              <w:spacing w:beforeAutospacing="0" w:before="0" w:afterAutospacing="0" w:after="120"/>
              <w:jc w:val="both"/>
              <w:rPr>
                <w:color w:val="FF0000"/>
                <w:sz w:val="21"/>
                <w:szCs w:val="21"/>
              </w:rPr>
            </w:pPr>
            <w:r>
              <w:rPr>
                <w:color w:val="FF0000"/>
                <w:sz w:val="21"/>
                <w:szCs w:val="21"/>
              </w:rPr>
            </w:r>
          </w:p>
        </w:tc>
      </w:tr>
      <w:tr>
        <w:trPr/>
        <w:tc>
          <w:tcPr>
            <w:tcW w:w="9889" w:type="dxa"/>
            <w:tcBorders>
              <w:top w:val="single" w:sz="4" w:space="0" w:color="000000"/>
              <w:left w:val="single" w:sz="4" w:space="0" w:color="000000"/>
              <w:bottom w:val="single" w:sz="4" w:space="0" w:color="000000"/>
              <w:right w:val="single" w:sz="4" w:space="0" w:color="000000"/>
            </w:tcBorders>
            <w:shd w:fill="auto" w:val="clear"/>
          </w:tcPr>
          <w:p>
            <w:pPr>
              <w:pStyle w:val="NormalWeb"/>
              <w:spacing w:beforeAutospacing="0" w:before="0" w:afterAutospacing="0" w:after="120"/>
              <w:jc w:val="both"/>
              <w:rPr>
                <w:color w:val="FF0000"/>
                <w:sz w:val="21"/>
                <w:szCs w:val="21"/>
              </w:rPr>
            </w:pPr>
            <w:r>
              <w:rPr>
                <w:color w:val="FF0000"/>
              </w:rPr>
              <w:t>AZIENDA SANITARIA PRESSO CUI SI SVOLGERÀ L’ATTIVITÀ</w:t>
            </w:r>
          </w:p>
        </w:tc>
      </w:tr>
      <w:tr>
        <w:trPr/>
        <w:tc>
          <w:tcPr>
            <w:tcW w:w="9889" w:type="dxa"/>
            <w:tcBorders>
              <w:top w:val="single" w:sz="4" w:space="0" w:color="000000"/>
              <w:left w:val="single" w:sz="4" w:space="0" w:color="000000"/>
              <w:bottom w:val="single" w:sz="4" w:space="0" w:color="000000"/>
              <w:right w:val="single" w:sz="4" w:space="0" w:color="000000"/>
            </w:tcBorders>
            <w:shd w:fill="auto" w:val="clear"/>
          </w:tcPr>
          <w:p>
            <w:pPr>
              <w:pStyle w:val="NormalWeb"/>
              <w:spacing w:beforeAutospacing="0" w:before="280" w:afterAutospacing="0" w:after="120"/>
              <w:jc w:val="both"/>
              <w:rPr>
                <w:sz w:val="21"/>
                <w:szCs w:val="21"/>
              </w:rPr>
            </w:pPr>
            <w:r>
              <w:rPr>
                <w:sz w:val="21"/>
                <w:szCs w:val="21"/>
              </w:rPr>
              <w:t>IRCCS Azienda Ospedaliero-Universitaria di Bologna</w:t>
            </w:r>
          </w:p>
        </w:tc>
      </w:tr>
    </w:tbl>
    <w:p>
      <w:pPr>
        <w:pStyle w:val="Normal"/>
        <w:jc w:val="both"/>
        <w:rPr/>
      </w:pPr>
      <w:r>
        <w:rPr/>
        <w:t>Si ricorda che, come previsto dagli Accordi sull’impiego nell’attività assistenziale dei Titolari di assegni di ricerca, sottoscritti tra l’Università di Bologna e le Aziende Ospedaliere di riferimento, una volta stipulato il contratto con il vincitore della selezione, il tutor deve consegnare alla Direzione Medica Ospedaliera la relativa modulistica, nella quale andranno riportate le attività qui segnalate.</w: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mc:AlternateContent>
          <mc:Choice Requires="wps">
            <w:drawing>
              <wp:anchor behindDoc="0" distT="0" distB="0" distL="0" distR="0" simplePos="0" locked="0" layoutInCell="1" allowOverlap="1" relativeHeight="9">
                <wp:simplePos x="0" y="0"/>
                <wp:positionH relativeFrom="column">
                  <wp:posOffset>-45085</wp:posOffset>
                </wp:positionH>
                <wp:positionV relativeFrom="paragraph">
                  <wp:posOffset>428625</wp:posOffset>
                </wp:positionV>
                <wp:extent cx="6727190" cy="2886710"/>
                <wp:effectExtent l="0" t="0" r="0" b="0"/>
                <wp:wrapNone/>
                <wp:docPr id="1" name="Forma1"/>
                <a:graphic xmlns:a="http://schemas.openxmlformats.org/drawingml/2006/main">
                  <a:graphicData uri="http://schemas.openxmlformats.org/drawingml/2006/picture">
                    <pic:pic xmlns:pic="http://schemas.openxmlformats.org/drawingml/2006/picture">
                      <pic:nvPicPr>
                        <pic:cNvPr id="0" name="Forma1" descr=""/>
                        <pic:cNvPicPr/>
                      </pic:nvPicPr>
                      <pic:blipFill>
                        <a:blip r:embed="rId3"/>
                        <a:srcRect l="0" t="8798" r="2567" b="11196"/>
                        <a:stretch/>
                      </pic:blipFill>
                      <pic:spPr>
                        <a:xfrm>
                          <a:off x="0" y="0"/>
                          <a:ext cx="6726600" cy="2886120"/>
                        </a:xfrm>
                        <a:prstGeom prst="rect">
                          <a:avLst/>
                        </a:prstGeom>
                        <a:ln>
                          <a:noFill/>
                        </a:ln>
                      </pic:spPr>
                    </pic:pic>
                  </a:graphicData>
                </a:graphic>
              </wp:anchor>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Forma1" stroked="f" style="position:absolute;margin-left:-3.55pt;margin-top:33.75pt;width:529.6pt;height:227.2pt" type="shapetype_75">
                <v:imagedata r:id="rId4" o:detectmouseclick="t"/>
                <w10:wrap type="none"/>
                <v:stroke color="#3465a4" joinstyle="round" endcap="flat"/>
              </v:shape>
            </w:pict>
          </mc:Fallback>
        </mc:AlternateContent>
      </w:r>
      <w:r>
        <w:rPr/>
        <w:t>Screenshot VRA2022</w:t>
      </w:r>
    </w:p>
    <w:sectPr>
      <w:headerReference w:type="default" r:id="rId5"/>
      <w:footerReference w:type="default" r:id="rId6"/>
      <w:type w:val="nextPage"/>
      <w:pgSz w:w="11906" w:h="16838"/>
      <w:pgMar w:left="1134" w:right="1134" w:header="357" w:top="1134" w:footer="618" w:bottom="67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ourier New">
    <w:charset w:val="00"/>
    <w:family w:val="roman"/>
    <w:pitch w:val="variable"/>
  </w:font>
  <w:font w:name="Tahoma">
    <w:charset w:val="00"/>
    <w:family w:val="roman"/>
    <w:pitch w:val="variable"/>
  </w:font>
  <w:font w:name="Courier">
    <w:altName w:val="Courier New"/>
    <w:charset w:val="00"/>
    <w:family w:val="roman"/>
    <w:pitch w:val="variable"/>
  </w:font>
  <w:font w:name="Calibri">
    <w:charset w:val="00"/>
    <w:family w:val="roman"/>
    <w:pitch w:val="variable"/>
  </w:font>
  <w:font w:name="Times New Roman">
    <w:charset w:val="01"/>
    <w:family w:val="roman"/>
    <w:pitch w:val="variable"/>
  </w:font>
  <w:font w:name="Merriweather Sans">
    <w:altName w:val="sans-serif"/>
    <w:charset w:val="00"/>
    <w:family w:val="auto"/>
    <w:pitch w:val="default"/>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tabs>
        <w:tab w:val="clear" w:pos="9638"/>
        <w:tab w:val="center" w:pos="4819" w:leader="none"/>
        <w:tab w:val="right" w:pos="10065" w:leader="none"/>
      </w:tabs>
      <w:ind w:left="-284" w:right="-285" w:hanging="0"/>
      <w:jc w:val="center"/>
      <w:rPr>
        <w:rFonts w:ascii="Garamond" w:hAnsi="Garamond"/>
        <w:smallCaps/>
        <w:sz w:val="20"/>
        <w:szCs w:val="20"/>
      </w:rPr>
    </w:pPr>
    <w:r>
      <w:rPr>
        <w:rFonts w:ascii="Garamond" w:hAnsi="Garamond"/>
        <w:smallCaps/>
        <w:sz w:val="20"/>
        <w:szCs w:val="20"/>
      </w:rPr>
      <w:t>ALMA MATER STUDIORUM - UNIVERSIT</w:t>
    </w:r>
    <w:r>
      <w:rPr>
        <w:rFonts w:eastAsia="Arial Unicode MS" w:ascii="Garamond" w:hAnsi="Garamond"/>
        <w:smallCaps/>
        <w:sz w:val="20"/>
        <w:szCs w:val="20"/>
      </w:rPr>
      <w:t>À</w:t>
    </w:r>
    <w:r>
      <w:rPr>
        <w:rFonts w:ascii="Garamond" w:hAnsi="Garamond"/>
        <w:smallCaps/>
        <w:sz w:val="20"/>
        <w:szCs w:val="20"/>
      </w:rPr>
      <w:t xml:space="preserve"> DI BOLOGNA</w:t>
    </w:r>
  </w:p>
  <w:p>
    <w:pPr>
      <w:pStyle w:val="Pidipagina"/>
      <w:tabs>
        <w:tab w:val="clear" w:pos="9638"/>
        <w:tab w:val="center" w:pos="4819" w:leader="none"/>
        <w:tab w:val="right" w:pos="10065" w:leader="none"/>
      </w:tabs>
      <w:ind w:left="-284" w:right="-285" w:hanging="0"/>
      <w:jc w:val="center"/>
      <w:rPr>
        <w:rFonts w:ascii="Garamond" w:hAnsi="Garamond"/>
        <w:caps/>
        <w:sz w:val="16"/>
        <w:szCs w:val="16"/>
      </w:rPr>
    </w:pPr>
    <w:r>
      <w:rPr>
        <w:rFonts w:ascii="Garamond" w:hAnsi="Garamond"/>
        <w:caps/>
        <w:sz w:val="16"/>
        <w:szCs w:val="16"/>
      </w:rPr>
      <w:t>SEDE AMMINISTRATIVA C/O AZIENDA OSPEDALIERO-UNIVERSITARIA – POLICLINICO S. ORSOLA–MALPIGHI</w:t>
    </w:r>
  </w:p>
  <w:p>
    <w:pPr>
      <w:pStyle w:val="Pidipagina"/>
      <w:tabs>
        <w:tab w:val="clear" w:pos="9638"/>
        <w:tab w:val="center" w:pos="4819" w:leader="none"/>
        <w:tab w:val="right" w:pos="10065" w:leader="none"/>
      </w:tabs>
      <w:ind w:left="-284" w:right="-285" w:hanging="0"/>
      <w:jc w:val="center"/>
      <w:rPr/>
    </w:pPr>
    <w:r>
      <w:rPr>
        <w:rFonts w:ascii="Garamond" w:hAnsi="Garamond"/>
        <w:caps/>
        <w:sz w:val="16"/>
        <w:szCs w:val="16"/>
      </w:rPr>
      <w:t xml:space="preserve">Via MASSARENTI 9, PADIGLIONE 11 - 40138 Bologna - Italia – </w:t>
    </w:r>
    <w:hyperlink r:id="rId1">
      <w:r>
        <w:rPr>
          <w:rStyle w:val="CollegamentoInternet"/>
          <w:rFonts w:ascii="Garamond" w:hAnsi="Garamond"/>
          <w:sz w:val="20"/>
          <w:szCs w:val="20"/>
        </w:rPr>
        <w:t>dimec.dipartimento@pec.unibo.it</w:t>
      </w:r>
    </w:hyperlink>
    <w:r>
      <w:rPr>
        <w:rFonts w:ascii="Garamond" w:hAnsi="Garamond"/>
        <w:sz w:val="16"/>
        <w:szCs w:val="16"/>
      </w:rPr>
      <w:t xml:space="preserve">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center"/>
      <w:rPr/>
    </w:pPr>
    <w:r>
      <w:rPr/>
      <w:drawing>
        <wp:inline distT="0" distB="0" distL="0" distR="0">
          <wp:extent cx="4057650" cy="1524000"/>
          <wp:effectExtent l="0" t="0" r="0" b="0"/>
          <wp:docPr id="2"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descr=""/>
                  <pic:cNvPicPr>
                    <a:picLocks noChangeAspect="1" noChangeArrowheads="1"/>
                  </pic:cNvPicPr>
                </pic:nvPicPr>
                <pic:blipFill>
                  <a:blip r:embed="rId1"/>
                  <a:stretch>
                    <a:fillRect/>
                  </a:stretch>
                </pic:blipFill>
                <pic:spPr bwMode="auto">
                  <a:xfrm>
                    <a:off x="0" y="0"/>
                    <a:ext cx="4057650" cy="1524000"/>
                  </a:xfrm>
                  <a:prstGeom prst="rect">
                    <a:avLst/>
                  </a:prstGeom>
                </pic:spPr>
              </pic:pic>
            </a:graphicData>
          </a:graphic>
        </wp:inline>
      </w:drawing>
    </w:r>
  </w:p>
</w:hdr>
</file>

<file path=word/settings.xml><?xml version="1.0" encoding="utf-8"?>
<w:settings xmlns:w="http://schemas.openxmlformats.org/wordprocessingml/2006/main">
  <w:zoom w:percent="65"/>
  <w:embedSystemFonts/>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pPr>
      <w:widowControl/>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Titolo3">
    <w:name w:val="Heading 3"/>
    <w:basedOn w:val="Titolo"/>
    <w:next w:val="Corpodeltesto"/>
    <w:qFormat/>
    <w:pPr>
      <w:spacing w:before="140" w:after="120"/>
      <w:outlineLvl w:val="2"/>
    </w:pPr>
    <w:rPr>
      <w:rFonts w:ascii="Liberation Serif" w:hAnsi="Liberation Serif" w:eastAsia="Segoe UI" w:cs="Tahoma"/>
      <w:b/>
      <w:bCs/>
      <w:sz w:val="28"/>
      <w:szCs w:val="28"/>
    </w:rPr>
  </w:style>
  <w:style w:type="character" w:styleId="DefaultParagraphFont" w:default="1">
    <w:name w:val="Default Paragraph Font"/>
    <w:uiPriority w:val="1"/>
    <w:unhideWhenUsed/>
    <w:qFormat/>
    <w:rPr/>
  </w:style>
  <w:style w:type="character" w:styleId="Strong">
    <w:name w:val="Strong"/>
    <w:qFormat/>
    <w:rsid w:val="003e0d7c"/>
    <w:rPr>
      <w:b/>
      <w:bCs/>
    </w:rPr>
  </w:style>
  <w:style w:type="character" w:styleId="CollegamentoInternet">
    <w:name w:val="Collegamento Internet"/>
    <w:rsid w:val="00c05a72"/>
    <w:rPr>
      <w:color w:val="0000FF"/>
      <w:u w:val="single"/>
    </w:rPr>
  </w:style>
  <w:style w:type="character" w:styleId="BodyTextChar" w:customStyle="1">
    <w:name w:val="Body Text Char"/>
    <w:link w:val="BodyText"/>
    <w:qFormat/>
    <w:rsid w:val="00d0087e"/>
    <w:rPr>
      <w:sz w:val="24"/>
      <w:szCs w:val="24"/>
    </w:rPr>
  </w:style>
  <w:style w:type="character" w:styleId="Enfasi">
    <w:name w:val="Enfasi"/>
    <w:qFormat/>
    <w:rsid w:val="008f7fad"/>
    <w:rPr>
      <w:i/>
      <w:iCs/>
    </w:rPr>
  </w:style>
  <w:style w:type="character" w:styleId="FootnoteTextChar" w:customStyle="1">
    <w:name w:val="Footnote Text Char"/>
    <w:basedOn w:val="DefaultParagraphFont"/>
    <w:link w:val="FootnoteText"/>
    <w:qFormat/>
    <w:rsid w:val="008f7fad"/>
    <w:rPr/>
  </w:style>
  <w:style w:type="character" w:styleId="Richiamoallanotaapidipagina">
    <w:name w:val="Richiamo alla nota a piè di pagina"/>
    <w:rPr>
      <w:vertAlign w:val="superscript"/>
    </w:rPr>
  </w:style>
  <w:style w:type="character" w:styleId="FootnoteCharacters">
    <w:name w:val="Footnote Characters"/>
    <w:qFormat/>
    <w:rsid w:val="008f7fad"/>
    <w:rPr>
      <w:vertAlign w:val="superscript"/>
    </w:rPr>
  </w:style>
  <w:style w:type="character" w:styleId="Annotationreference">
    <w:name w:val="annotation reference"/>
    <w:qFormat/>
    <w:rsid w:val="00500928"/>
    <w:rPr>
      <w:sz w:val="16"/>
      <w:szCs w:val="16"/>
    </w:rPr>
  </w:style>
  <w:style w:type="character" w:styleId="CommentTextChar" w:customStyle="1">
    <w:name w:val="Comment Text Char"/>
    <w:basedOn w:val="DefaultParagraphFont"/>
    <w:link w:val="CommentText"/>
    <w:qFormat/>
    <w:rsid w:val="00500928"/>
    <w:rPr/>
  </w:style>
  <w:style w:type="character" w:styleId="CommentSubjectChar" w:customStyle="1">
    <w:name w:val="Comment Subject Char"/>
    <w:link w:val="CommentSubject"/>
    <w:qFormat/>
    <w:rsid w:val="00500928"/>
    <w:rPr>
      <w:b/>
      <w:bCs/>
    </w:rPr>
  </w:style>
  <w:style w:type="character" w:styleId="UnresolvedMention">
    <w:name w:val="Unresolved Mention"/>
    <w:uiPriority w:val="99"/>
    <w:semiHidden/>
    <w:unhideWhenUsed/>
    <w:qFormat/>
    <w:rsid w:val="00e308cb"/>
    <w:rPr>
      <w:color w:val="605E5C"/>
      <w:shd w:fill="E1DFDD" w:val="clear"/>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link w:val="BodyTextChar"/>
    <w:rsid w:val="00d0087e"/>
    <w:pPr>
      <w:spacing w:before="0" w:after="12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Intestazioneepidipagina">
    <w:name w:val="Intestazione e piè di pagina"/>
    <w:basedOn w:val="Normal"/>
    <w:qFormat/>
    <w:pPr/>
    <w:rPr/>
  </w:style>
  <w:style w:type="paragraph" w:styleId="Intestazione">
    <w:name w:val="Header"/>
    <w:basedOn w:val="Normal"/>
    <w:rsid w:val="002a0f0a"/>
    <w:pPr>
      <w:tabs>
        <w:tab w:val="clear" w:pos="708"/>
        <w:tab w:val="center" w:pos="4819" w:leader="none"/>
        <w:tab w:val="right" w:pos="9638" w:leader="none"/>
      </w:tabs>
    </w:pPr>
    <w:rPr/>
  </w:style>
  <w:style w:type="paragraph" w:styleId="Pidipagina">
    <w:name w:val="Footer"/>
    <w:basedOn w:val="Normal"/>
    <w:rsid w:val="002a0f0a"/>
    <w:pPr>
      <w:tabs>
        <w:tab w:val="clear" w:pos="708"/>
        <w:tab w:val="center" w:pos="4819" w:leader="none"/>
        <w:tab w:val="right" w:pos="9638" w:leader="none"/>
      </w:tabs>
    </w:pPr>
    <w:rPr/>
  </w:style>
  <w:style w:type="paragraph" w:styleId="PlainText">
    <w:name w:val="Plain Text"/>
    <w:basedOn w:val="Normal"/>
    <w:qFormat/>
    <w:rsid w:val="002a0f0a"/>
    <w:pPr/>
    <w:rPr>
      <w:rFonts w:ascii="Courier New" w:hAnsi="Courier New" w:cs="Courier New"/>
      <w:sz w:val="20"/>
      <w:szCs w:val="20"/>
    </w:rPr>
  </w:style>
  <w:style w:type="paragraph" w:styleId="BalloonText">
    <w:name w:val="Balloon Text"/>
    <w:basedOn w:val="Normal"/>
    <w:semiHidden/>
    <w:qFormat/>
    <w:rsid w:val="00170400"/>
    <w:pPr/>
    <w:rPr>
      <w:rFonts w:ascii="Tahoma" w:hAnsi="Tahoma" w:cs="Tahoma"/>
      <w:sz w:val="16"/>
      <w:szCs w:val="16"/>
    </w:rPr>
  </w:style>
  <w:style w:type="paragraph" w:styleId="TestoxRiferimento" w:customStyle="1">
    <w:name w:val="testo (x Riferimento)"/>
    <w:basedOn w:val="Normal"/>
    <w:qFormat/>
    <w:rsid w:val="00b14628"/>
    <w:pPr>
      <w:widowControl w:val="false"/>
      <w:tabs>
        <w:tab w:val="clear" w:pos="708"/>
        <w:tab w:val="left" w:pos="567" w:leader="none"/>
        <w:tab w:val="left" w:pos="2268" w:leader="none"/>
        <w:tab w:val="left" w:pos="2552" w:leader="none"/>
        <w:tab w:val="left" w:pos="2835" w:leader="none"/>
        <w:tab w:val="left" w:pos="3119" w:leader="none"/>
        <w:tab w:val="left" w:pos="3402" w:leader="none"/>
        <w:tab w:val="left" w:pos="3969" w:leader="none"/>
        <w:tab w:val="left" w:pos="4536" w:leader="none"/>
        <w:tab w:val="left" w:pos="5103" w:leader="none"/>
        <w:tab w:val="left" w:pos="5670" w:leader="none"/>
      </w:tabs>
      <w:spacing w:lineRule="exact" w:line="440"/>
      <w:jc w:val="both"/>
    </w:pPr>
    <w:rPr>
      <w:szCs w:val="20"/>
    </w:rPr>
  </w:style>
  <w:style w:type="paragraph" w:styleId="IN" w:customStyle="1">
    <w:name w:val="IN"/>
    <w:qFormat/>
    <w:rsid w:val="00b14628"/>
    <w:pPr>
      <w:widowControl/>
      <w:bidi w:val="0"/>
      <w:spacing w:lineRule="exact" w:line="482" w:before="0" w:after="0"/>
      <w:jc w:val="both"/>
    </w:pPr>
    <w:rPr>
      <w:rFonts w:ascii="Courier" w:hAnsi="Courier" w:eastAsia="Times New Roman" w:cs="Times New Roman"/>
      <w:color w:val="auto"/>
      <w:kern w:val="0"/>
      <w:sz w:val="24"/>
      <w:szCs w:val="20"/>
      <w:lang w:val="it-IT" w:eastAsia="it-IT" w:bidi="ar-SA"/>
    </w:rPr>
  </w:style>
  <w:style w:type="paragraph" w:styleId="NoSpacing">
    <w:name w:val="No Spacing"/>
    <w:uiPriority w:val="1"/>
    <w:qFormat/>
    <w:rsid w:val="002b3409"/>
    <w:pPr>
      <w:widowControl/>
      <w:bidi w:val="0"/>
      <w:spacing w:before="0" w:after="0"/>
      <w:jc w:val="left"/>
    </w:pPr>
    <w:rPr>
      <w:rFonts w:ascii="Calibri" w:hAnsi="Calibri" w:eastAsia="Calibri" w:cs="Times New Roman"/>
      <w:color w:val="auto"/>
      <w:kern w:val="0"/>
      <w:sz w:val="22"/>
      <w:szCs w:val="22"/>
      <w:lang w:eastAsia="en-US" w:val="it-IT" w:bidi="ar-SA"/>
    </w:rPr>
  </w:style>
  <w:style w:type="paragraph" w:styleId="NormalWeb">
    <w:name w:val="Normal (Web)"/>
    <w:basedOn w:val="Normal"/>
    <w:uiPriority w:val="99"/>
    <w:unhideWhenUsed/>
    <w:qFormat/>
    <w:rsid w:val="008f7fad"/>
    <w:pPr>
      <w:spacing w:beforeAutospacing="1" w:afterAutospacing="1"/>
    </w:pPr>
    <w:rPr/>
  </w:style>
  <w:style w:type="paragraph" w:styleId="ListParagraph">
    <w:name w:val="List Paragraph"/>
    <w:basedOn w:val="Normal"/>
    <w:uiPriority w:val="34"/>
    <w:qFormat/>
    <w:rsid w:val="008f7fad"/>
    <w:pPr>
      <w:spacing w:before="0" w:after="0"/>
      <w:ind w:left="720" w:hanging="0"/>
      <w:contextualSpacing/>
    </w:pPr>
    <w:rPr/>
  </w:style>
  <w:style w:type="paragraph" w:styleId="Notaapidipagina">
    <w:name w:val="Footnote Text"/>
    <w:basedOn w:val="Normal"/>
    <w:link w:val="FootnoteTextChar"/>
    <w:rsid w:val="008f7fad"/>
    <w:pPr/>
    <w:rPr>
      <w:sz w:val="20"/>
      <w:szCs w:val="20"/>
    </w:rPr>
  </w:style>
  <w:style w:type="paragraph" w:styleId="Annotationtext">
    <w:name w:val="annotation text"/>
    <w:basedOn w:val="Normal"/>
    <w:link w:val="CommentTextChar"/>
    <w:qFormat/>
    <w:rsid w:val="00500928"/>
    <w:pPr/>
    <w:rPr>
      <w:sz w:val="20"/>
      <w:szCs w:val="20"/>
    </w:rPr>
  </w:style>
  <w:style w:type="paragraph" w:styleId="Annotationsubject">
    <w:name w:val="annotation subject"/>
    <w:basedOn w:val="Annotationtext"/>
    <w:next w:val="Annotationtext"/>
    <w:link w:val="CommentSubjectChar"/>
    <w:qFormat/>
    <w:rsid w:val="00500928"/>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rsid w:val="00a231c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cris.unibo.it/rm/popup/rmItem/journal/crisId/journal44424/detail.htm" TargetMode="External"/><Relationship Id="rId3" Type="http://schemas.openxmlformats.org/officeDocument/2006/relationships/image" Target="media/image1.png"/><Relationship Id="rId4" Type="http://schemas.openxmlformats.org/officeDocument/2006/relationships/image" Target="media/image2.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mailto:dimec.dipartimento@pec.unibo.it" TargetMode="External"/>
</Relationships>
</file>

<file path=word/_rels/header1.xml.rels><?xml version="1.0" encoding="UTF-8"?>
<Relationships xmlns="http://schemas.openxmlformats.org/package/2006/relationships"><Relationship Id="rId1" Type="http://schemas.openxmlformats.org/officeDocument/2006/relationships/image" Target="media/image3.wmf"/>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Application>LibreOffice/6.3.5.2$Windows_X86_64 LibreOffice_project/dd0751754f11728f69b42ee2af66670068624673</Application>
  <Pages>7</Pages>
  <Words>1733</Words>
  <Characters>11596</Characters>
  <CharactersWithSpaces>13314</CharactersWithSpaces>
  <Paragraphs>80</Paragraphs>
  <Company>Università di Bologna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2023-04-13T11:30:00Z</dcterms:created>
  <dc:creator>Administrator</dc:creator>
  <dc:description/>
  <dc:language>it-IT</dc:language>
  <cp:lastModifiedBy/>
  <cp:lastPrinted>2017-02-03T09:22:00Z</cp:lastPrinted>
  <dcterms:modified xsi:type="dcterms:W3CDTF">2023-08-01T14:05:27Z</dcterms:modified>
  <cp:revision>7</cp:revision>
  <dc:subject/>
  <dc:title>ARAG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Università di Bologna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